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A401" w14:textId="77777777" w:rsidR="00C61184" w:rsidRPr="006103F5" w:rsidRDefault="00C61184" w:rsidP="00C61184">
      <w:pPr>
        <w:spacing w:before="120"/>
        <w:rPr>
          <w:rFonts w:ascii="Cambria" w:hAnsi="Cambria" w:cs="Arial"/>
        </w:rPr>
      </w:pPr>
    </w:p>
    <w:tbl>
      <w:tblPr>
        <w:tblpPr w:leftFromText="187" w:rightFromText="187" w:vertAnchor="page" w:horzAnchor="margin" w:tblpXSpec="right" w:tblpY="2661"/>
        <w:tblW w:w="2563" w:type="pct"/>
        <w:tblBorders>
          <w:top w:val="single" w:sz="36" w:space="0" w:color="008000"/>
          <w:bottom w:val="single" w:sz="36" w:space="0" w:color="008000"/>
          <w:insideH w:val="single" w:sz="36" w:space="0" w:color="008000"/>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4822"/>
      </w:tblGrid>
      <w:tr w:rsidR="00C61184" w:rsidRPr="006103F5" w14:paraId="4E9384E3" w14:textId="77777777" w:rsidTr="00C61184">
        <w:tc>
          <w:tcPr>
            <w:tcW w:w="5000" w:type="pct"/>
          </w:tcPr>
          <w:p w14:paraId="43F2A43D" w14:textId="77777777" w:rsidR="00C61184" w:rsidRPr="00EE6539" w:rsidRDefault="00C61184" w:rsidP="00C61184">
            <w:pPr>
              <w:pStyle w:val="Tekstkomentara"/>
              <w:jc w:val="center"/>
              <w:rPr>
                <w:rFonts w:cstheme="minorHAnsi"/>
                <w:b/>
                <w:i/>
                <w:sz w:val="40"/>
                <w:szCs w:val="40"/>
              </w:rPr>
            </w:pPr>
            <w:r>
              <w:rPr>
                <w:rFonts w:cstheme="minorHAnsi"/>
                <w:b/>
                <w:sz w:val="44"/>
                <w:szCs w:val="40"/>
              </w:rPr>
              <w:t>Prethodno vrednovanje Nacrta Strategije biogospodarstva do 2035.</w:t>
            </w:r>
          </w:p>
        </w:tc>
      </w:tr>
      <w:tr w:rsidR="00C61184" w:rsidRPr="006103F5" w14:paraId="3DF4421E" w14:textId="77777777" w:rsidTr="00C61184">
        <w:tc>
          <w:tcPr>
            <w:tcW w:w="5000" w:type="pct"/>
          </w:tcPr>
          <w:p w14:paraId="0C5DD24F" w14:textId="4DF04E8E" w:rsidR="00C61184" w:rsidRPr="001F6BEB" w:rsidRDefault="00C61184" w:rsidP="00C61184">
            <w:pPr>
              <w:pStyle w:val="Tekstkomentara"/>
              <w:jc w:val="center"/>
              <w:rPr>
                <w:rFonts w:cstheme="minorHAnsi"/>
                <w:b/>
                <w:i/>
                <w:sz w:val="28"/>
                <w:szCs w:val="24"/>
              </w:rPr>
            </w:pPr>
            <w:r>
              <w:rPr>
                <w:rFonts w:cstheme="minorHAnsi"/>
                <w:b/>
                <w:i/>
                <w:sz w:val="28"/>
                <w:szCs w:val="24"/>
              </w:rPr>
              <w:t xml:space="preserve">IZVJEŠĆE O PROVEDBI </w:t>
            </w:r>
            <w:r w:rsidR="00290FB3">
              <w:rPr>
                <w:rFonts w:cstheme="minorHAnsi"/>
                <w:b/>
                <w:i/>
                <w:sz w:val="28"/>
                <w:szCs w:val="24"/>
              </w:rPr>
              <w:t xml:space="preserve">POSTUPKA </w:t>
            </w:r>
            <w:r>
              <w:rPr>
                <w:rFonts w:cstheme="minorHAnsi"/>
                <w:b/>
                <w:i/>
                <w:sz w:val="28"/>
                <w:szCs w:val="24"/>
              </w:rPr>
              <w:t xml:space="preserve">VREDNOVANJA </w:t>
            </w:r>
            <w:r w:rsidR="00B8756E">
              <w:rPr>
                <w:rFonts w:cstheme="minorHAnsi"/>
                <w:b/>
                <w:i/>
                <w:sz w:val="28"/>
                <w:szCs w:val="24"/>
              </w:rPr>
              <w:t xml:space="preserve"> - NACRT</w:t>
            </w:r>
          </w:p>
          <w:p w14:paraId="0659CC03" w14:textId="77777777" w:rsidR="00C61184" w:rsidRPr="00111F83" w:rsidRDefault="00C61184" w:rsidP="00C61184">
            <w:pPr>
              <w:pStyle w:val="Tekstkomentara"/>
              <w:jc w:val="center"/>
              <w:rPr>
                <w:b/>
                <w:sz w:val="28"/>
                <w:szCs w:val="28"/>
              </w:rPr>
            </w:pPr>
            <w:r w:rsidRPr="001F6BEB">
              <w:rPr>
                <w:rFonts w:cstheme="minorHAnsi"/>
                <w:b/>
                <w:i/>
                <w:sz w:val="28"/>
                <w:szCs w:val="24"/>
              </w:rPr>
              <w:t xml:space="preserve"> </w:t>
            </w:r>
          </w:p>
        </w:tc>
      </w:tr>
      <w:tr w:rsidR="00C61184" w:rsidRPr="006103F5" w14:paraId="0661F1DE" w14:textId="77777777" w:rsidTr="00C61184">
        <w:trPr>
          <w:trHeight w:val="3356"/>
        </w:trPr>
        <w:tc>
          <w:tcPr>
            <w:tcW w:w="5000" w:type="pct"/>
          </w:tcPr>
          <w:p w14:paraId="5E99471F" w14:textId="77777777" w:rsidR="00C61184" w:rsidRPr="00BF0F38" w:rsidRDefault="00C61184" w:rsidP="00C61184">
            <w:pPr>
              <w:spacing w:before="120"/>
              <w:jc w:val="center"/>
              <w:rPr>
                <w:b/>
                <w:color w:val="385623" w:themeColor="accent6" w:themeShade="80"/>
                <w:sz w:val="48"/>
                <w:szCs w:val="48"/>
              </w:rPr>
            </w:pPr>
            <w:r w:rsidRPr="00BF0F38">
              <w:rPr>
                <w:b/>
                <w:color w:val="385623" w:themeColor="accent6" w:themeShade="80"/>
                <w:sz w:val="48"/>
                <w:szCs w:val="48"/>
              </w:rPr>
              <w:t>Institut</w:t>
            </w:r>
            <w:r>
              <w:rPr>
                <w:b/>
                <w:color w:val="385623" w:themeColor="accent6" w:themeShade="80"/>
                <w:sz w:val="48"/>
                <w:szCs w:val="48"/>
              </w:rPr>
              <w:t xml:space="preserve"> za razvoj i međunarodne odnose,</w:t>
            </w:r>
            <w:r w:rsidRPr="00BF0F38">
              <w:rPr>
                <w:b/>
                <w:color w:val="385623" w:themeColor="accent6" w:themeShade="80"/>
                <w:sz w:val="48"/>
                <w:szCs w:val="48"/>
              </w:rPr>
              <w:t xml:space="preserve"> IRMO</w:t>
            </w:r>
          </w:p>
          <w:p w14:paraId="394A6261" w14:textId="77777777" w:rsidR="00C61184" w:rsidRPr="00C67112" w:rsidRDefault="00C61184" w:rsidP="00C61184">
            <w:pPr>
              <w:pStyle w:val="Bezproreda"/>
              <w:tabs>
                <w:tab w:val="left" w:pos="1476"/>
              </w:tabs>
              <w:spacing w:before="120" w:line="276" w:lineRule="auto"/>
              <w:rPr>
                <w:rFonts w:ascii="Times New Roman" w:hAnsi="Times New Roman"/>
                <w:lang w:val="hr-HR"/>
              </w:rPr>
            </w:pPr>
            <w:r w:rsidRPr="00C67112">
              <w:rPr>
                <w:rFonts w:ascii="Times New Roman" w:hAnsi="Times New Roman"/>
                <w:lang w:val="hr-HR"/>
              </w:rPr>
              <w:tab/>
            </w:r>
          </w:p>
          <w:p w14:paraId="75ACEF36" w14:textId="13AD12D1" w:rsidR="00C61184" w:rsidRPr="00B751F1" w:rsidRDefault="00C61184" w:rsidP="00C61184">
            <w:pPr>
              <w:jc w:val="center"/>
              <w:rPr>
                <w:b/>
                <w:sz w:val="32"/>
                <w:szCs w:val="32"/>
              </w:rPr>
            </w:pPr>
            <w:r w:rsidRPr="007E166C">
              <w:rPr>
                <w:b/>
                <w:sz w:val="32"/>
                <w:szCs w:val="32"/>
              </w:rPr>
              <w:t xml:space="preserve">Zagreb, </w:t>
            </w:r>
            <w:r w:rsidR="00E7654F">
              <w:rPr>
                <w:b/>
                <w:sz w:val="32"/>
                <w:szCs w:val="32"/>
              </w:rPr>
              <w:t>2</w:t>
            </w:r>
            <w:r w:rsidR="007E166C" w:rsidRPr="007E166C">
              <w:rPr>
                <w:b/>
                <w:sz w:val="32"/>
                <w:szCs w:val="32"/>
              </w:rPr>
              <w:t>. veljače</w:t>
            </w:r>
            <w:r w:rsidRPr="007E166C">
              <w:rPr>
                <w:b/>
                <w:sz w:val="32"/>
                <w:szCs w:val="32"/>
              </w:rPr>
              <w:t>,</w:t>
            </w:r>
            <w:r w:rsidRPr="007E166C">
              <w:rPr>
                <w:rFonts w:cstheme="minorHAnsi"/>
                <w:b/>
                <w:sz w:val="32"/>
                <w:szCs w:val="32"/>
              </w:rPr>
              <w:t xml:space="preserve"> 2024.</w:t>
            </w:r>
          </w:p>
        </w:tc>
      </w:tr>
    </w:tbl>
    <w:p w14:paraId="76887FE0" w14:textId="77777777" w:rsidR="00C61184" w:rsidRDefault="00C61184" w:rsidP="00C61184">
      <w:pPr>
        <w:spacing w:before="120"/>
        <w:rPr>
          <w:rFonts w:ascii="Cambria" w:hAnsi="Cambria" w:cs="Arial"/>
        </w:rPr>
      </w:pPr>
    </w:p>
    <w:p w14:paraId="6D9EB759" w14:textId="77777777" w:rsidR="00C61184" w:rsidRDefault="00C61184" w:rsidP="00C61184">
      <w:pPr>
        <w:spacing w:before="120"/>
        <w:rPr>
          <w:rFonts w:ascii="Cambria" w:hAnsi="Cambria" w:cs="Arial"/>
        </w:rPr>
      </w:pPr>
    </w:p>
    <w:p w14:paraId="7CECBEA6" w14:textId="77777777" w:rsidR="00C61184" w:rsidRDefault="00C61184" w:rsidP="00C61184">
      <w:pPr>
        <w:spacing w:before="120"/>
        <w:rPr>
          <w:rFonts w:ascii="Cambria" w:hAnsi="Cambria" w:cs="Arial"/>
        </w:rPr>
      </w:pPr>
    </w:p>
    <w:p w14:paraId="215AE71C" w14:textId="77777777" w:rsidR="00C61184" w:rsidRDefault="00C61184" w:rsidP="00C61184">
      <w:pPr>
        <w:spacing w:before="120"/>
        <w:rPr>
          <w:rFonts w:ascii="Cambria" w:hAnsi="Cambria" w:cs="Arial"/>
        </w:rPr>
      </w:pPr>
    </w:p>
    <w:p w14:paraId="3760D9F1" w14:textId="77777777" w:rsidR="00C61184" w:rsidRDefault="00C61184" w:rsidP="00C61184">
      <w:pPr>
        <w:spacing w:before="120"/>
        <w:rPr>
          <w:rFonts w:ascii="Cambria" w:hAnsi="Cambria" w:cs="Arial"/>
        </w:rPr>
      </w:pPr>
    </w:p>
    <w:p w14:paraId="1995B1F1" w14:textId="77777777" w:rsidR="00C61184" w:rsidRDefault="00C61184" w:rsidP="00C61184">
      <w:pPr>
        <w:spacing w:before="120"/>
        <w:rPr>
          <w:rFonts w:ascii="Cambria" w:hAnsi="Cambria" w:cs="Arial"/>
        </w:rPr>
      </w:pPr>
    </w:p>
    <w:p w14:paraId="1ED837A8" w14:textId="77777777" w:rsidR="00C61184" w:rsidRDefault="00C61184" w:rsidP="00C61184">
      <w:pPr>
        <w:spacing w:before="120"/>
        <w:rPr>
          <w:rFonts w:ascii="Cambria" w:hAnsi="Cambria" w:cs="Arial"/>
        </w:rPr>
      </w:pPr>
    </w:p>
    <w:p w14:paraId="67DBD7FC" w14:textId="77777777" w:rsidR="00C61184" w:rsidRDefault="00C61184" w:rsidP="00C61184">
      <w:pPr>
        <w:spacing w:before="120"/>
        <w:rPr>
          <w:rFonts w:ascii="Cambria" w:hAnsi="Cambria" w:cs="Arial"/>
        </w:rPr>
      </w:pPr>
    </w:p>
    <w:p w14:paraId="77F9C1F9" w14:textId="77777777" w:rsidR="00C61184" w:rsidRDefault="00C61184" w:rsidP="00C61184">
      <w:pPr>
        <w:spacing w:before="120"/>
        <w:rPr>
          <w:rFonts w:ascii="Cambria" w:hAnsi="Cambria" w:cs="Arial"/>
        </w:rPr>
      </w:pPr>
    </w:p>
    <w:p w14:paraId="43936F15" w14:textId="77777777" w:rsidR="00C61184" w:rsidRDefault="00C61184" w:rsidP="00C61184">
      <w:pPr>
        <w:spacing w:before="120"/>
        <w:rPr>
          <w:rFonts w:ascii="Cambria" w:hAnsi="Cambria" w:cs="Arial"/>
        </w:rPr>
      </w:pPr>
    </w:p>
    <w:p w14:paraId="0A195BC3" w14:textId="77777777" w:rsidR="00C61184" w:rsidRDefault="00C61184" w:rsidP="00C61184">
      <w:pPr>
        <w:spacing w:before="120"/>
        <w:rPr>
          <w:rFonts w:ascii="Cambria" w:hAnsi="Cambria" w:cs="Arial"/>
        </w:rPr>
      </w:pPr>
    </w:p>
    <w:p w14:paraId="09E2073C" w14:textId="77777777" w:rsidR="00C61184" w:rsidRDefault="00C61184" w:rsidP="00C61184">
      <w:pPr>
        <w:spacing w:before="120"/>
        <w:rPr>
          <w:rFonts w:ascii="Cambria" w:hAnsi="Cambria" w:cs="Arial"/>
        </w:rPr>
      </w:pPr>
    </w:p>
    <w:p w14:paraId="3F3C2F89" w14:textId="77777777" w:rsidR="00C61184" w:rsidRDefault="00C61184" w:rsidP="00C61184">
      <w:pPr>
        <w:spacing w:before="120"/>
        <w:rPr>
          <w:rFonts w:ascii="Cambria" w:hAnsi="Cambria" w:cs="Arial"/>
        </w:rPr>
      </w:pPr>
    </w:p>
    <w:p w14:paraId="02F87117" w14:textId="77777777" w:rsidR="00C61184" w:rsidRDefault="00C61184" w:rsidP="00C61184">
      <w:pPr>
        <w:spacing w:before="120"/>
        <w:rPr>
          <w:rFonts w:ascii="Cambria" w:hAnsi="Cambria" w:cs="Arial"/>
        </w:rPr>
      </w:pPr>
    </w:p>
    <w:p w14:paraId="10173C6D" w14:textId="77777777" w:rsidR="00C61184" w:rsidRDefault="00C61184" w:rsidP="00C61184">
      <w:pPr>
        <w:spacing w:before="120"/>
        <w:rPr>
          <w:rFonts w:ascii="Cambria" w:hAnsi="Cambria" w:cs="Arial"/>
        </w:rPr>
      </w:pPr>
    </w:p>
    <w:p w14:paraId="6675D67F" w14:textId="77777777" w:rsidR="00C61184" w:rsidRDefault="00C61184" w:rsidP="00C61184">
      <w:pPr>
        <w:spacing w:before="120"/>
        <w:rPr>
          <w:rFonts w:ascii="Cambria" w:hAnsi="Cambria" w:cs="Arial"/>
        </w:rPr>
      </w:pPr>
    </w:p>
    <w:p w14:paraId="51B2C01F" w14:textId="77777777" w:rsidR="00C61184" w:rsidRDefault="00C61184" w:rsidP="00C61184">
      <w:pPr>
        <w:spacing w:before="120"/>
        <w:rPr>
          <w:rFonts w:ascii="Cambria" w:hAnsi="Cambria" w:cs="Arial"/>
        </w:rPr>
      </w:pPr>
    </w:p>
    <w:p w14:paraId="51813403" w14:textId="77777777" w:rsidR="00C61184" w:rsidRDefault="00C61184" w:rsidP="00C61184">
      <w:pPr>
        <w:spacing w:before="120"/>
        <w:rPr>
          <w:rFonts w:ascii="Cambria" w:hAnsi="Cambria" w:cs="Arial"/>
        </w:rPr>
      </w:pPr>
    </w:p>
    <w:p w14:paraId="64B52D41" w14:textId="77777777" w:rsidR="00C61184" w:rsidRPr="006103F5" w:rsidRDefault="00C61184" w:rsidP="00C61184">
      <w:pPr>
        <w:spacing w:before="120"/>
        <w:rPr>
          <w:rFonts w:ascii="Cambria" w:hAnsi="Cambria" w:cs="Arial"/>
        </w:rPr>
      </w:pPr>
    </w:p>
    <w:p w14:paraId="15961279" w14:textId="77777777" w:rsidR="00C61184" w:rsidRPr="008A4953" w:rsidRDefault="00C61184" w:rsidP="00C61184">
      <w:pPr>
        <w:spacing w:before="120"/>
        <w:ind w:left="4536"/>
        <w:jc w:val="center"/>
        <w:rPr>
          <w:rFonts w:ascii="Times New Roman" w:hAnsi="Times New Roman"/>
          <w:color w:val="336600"/>
          <w:sz w:val="24"/>
          <w:szCs w:val="24"/>
        </w:rPr>
      </w:pPr>
    </w:p>
    <w:p w14:paraId="394F6919" w14:textId="77777777" w:rsidR="00C61184" w:rsidRPr="00C02E5A" w:rsidRDefault="00C61184" w:rsidP="00C61184">
      <w:pPr>
        <w:spacing w:before="120" w:after="0"/>
        <w:ind w:left="4536" w:firstLine="3742"/>
        <w:rPr>
          <w:rFonts w:ascii="Cambria" w:hAnsi="Cambria"/>
          <w:noProof/>
          <w:color w:val="336600"/>
          <w:sz w:val="24"/>
          <w:szCs w:val="24"/>
        </w:rPr>
      </w:pPr>
    </w:p>
    <w:p w14:paraId="367FC650" w14:textId="77777777" w:rsidR="00C61184" w:rsidRDefault="00C61184" w:rsidP="00C61184">
      <w:pPr>
        <w:rPr>
          <w:rFonts w:ascii="Cambria" w:hAnsi="Cambria"/>
          <w:noProof/>
          <w:color w:val="336600"/>
          <w:sz w:val="24"/>
          <w:szCs w:val="24"/>
        </w:rPr>
      </w:pPr>
      <w:r>
        <w:rPr>
          <w:rFonts w:ascii="Cambria" w:hAnsi="Cambria"/>
          <w:noProof/>
          <w:color w:val="336600"/>
        </w:rPr>
        <w:br w:type="page"/>
      </w:r>
    </w:p>
    <w:p w14:paraId="6245F2EA" w14:textId="74F1D096" w:rsidR="00296A4F" w:rsidRPr="00AC7D3B" w:rsidRDefault="00696D87" w:rsidP="00296A4F">
      <w:pPr>
        <w:pStyle w:val="box460819"/>
        <w:rPr>
          <w:rFonts w:asciiTheme="majorHAnsi" w:hAnsiTheme="majorHAnsi" w:cstheme="majorHAnsi"/>
          <w:b/>
          <w:color w:val="0070C0"/>
          <w:sz w:val="28"/>
          <w:szCs w:val="28"/>
        </w:rPr>
      </w:pPr>
      <w:r w:rsidRPr="00AC7D3B">
        <w:rPr>
          <w:rFonts w:asciiTheme="majorHAnsi" w:hAnsiTheme="majorHAnsi" w:cstheme="majorHAnsi"/>
          <w:b/>
          <w:color w:val="0070C0"/>
          <w:sz w:val="28"/>
          <w:szCs w:val="28"/>
        </w:rPr>
        <w:lastRenderedPageBreak/>
        <w:t>SADRŽAJ</w:t>
      </w:r>
    </w:p>
    <w:p w14:paraId="7BDC0419" w14:textId="77777777" w:rsidR="00AC7D3B" w:rsidRPr="00C61184" w:rsidRDefault="00AC7D3B" w:rsidP="00296A4F">
      <w:pPr>
        <w:pStyle w:val="box460819"/>
        <w:rPr>
          <w:rFonts w:asciiTheme="majorHAnsi" w:hAnsiTheme="majorHAnsi" w:cstheme="majorHAnsi"/>
          <w:color w:val="2F5496" w:themeColor="accent5" w:themeShade="BF"/>
          <w:sz w:val="28"/>
          <w:szCs w:val="28"/>
        </w:rPr>
      </w:pPr>
    </w:p>
    <w:p w14:paraId="387C38C2" w14:textId="26C96F66" w:rsidR="00D61DB9" w:rsidRPr="00AC7D3B" w:rsidRDefault="00D61DB9" w:rsidP="009D0757">
      <w:pPr>
        <w:pStyle w:val="box460819"/>
        <w:numPr>
          <w:ilvl w:val="0"/>
          <w:numId w:val="1"/>
        </w:numPr>
        <w:tabs>
          <w:tab w:val="left" w:pos="357"/>
          <w:tab w:val="right" w:leader="dot" w:pos="9072"/>
        </w:tabs>
        <w:spacing w:before="0" w:beforeAutospacing="0" w:after="0" w:afterAutospacing="0"/>
        <w:ind w:left="714" w:hanging="357"/>
        <w:rPr>
          <w:rFonts w:asciiTheme="minorHAnsi" w:hAnsiTheme="minorHAnsi" w:cstheme="minorHAnsi"/>
          <w:b/>
        </w:rPr>
      </w:pPr>
      <w:r w:rsidRPr="00AC7D3B">
        <w:rPr>
          <w:rFonts w:asciiTheme="minorHAnsi" w:hAnsiTheme="minorHAnsi" w:cstheme="minorHAnsi"/>
          <w:b/>
        </w:rPr>
        <w:t>Uvod</w:t>
      </w:r>
      <w:r w:rsidRPr="00AC7D3B">
        <w:rPr>
          <w:rFonts w:asciiTheme="minorHAnsi" w:hAnsiTheme="minorHAnsi" w:cstheme="minorHAnsi"/>
          <w:b/>
        </w:rPr>
        <w:tab/>
      </w:r>
      <w:r w:rsidR="006A0C43">
        <w:rPr>
          <w:rFonts w:asciiTheme="minorHAnsi" w:hAnsiTheme="minorHAnsi" w:cstheme="minorHAnsi"/>
          <w:b/>
        </w:rPr>
        <w:t>4</w:t>
      </w:r>
    </w:p>
    <w:p w14:paraId="109A4093" w14:textId="1D3CD643" w:rsidR="00D61DB9" w:rsidRPr="00AC7D3B" w:rsidRDefault="00D61DB9" w:rsidP="00D61DB9">
      <w:pPr>
        <w:pStyle w:val="box460819"/>
        <w:tabs>
          <w:tab w:val="left" w:pos="357"/>
          <w:tab w:val="right" w:leader="dot" w:pos="9072"/>
        </w:tabs>
        <w:spacing w:before="0" w:beforeAutospacing="0" w:after="0" w:afterAutospacing="0"/>
        <w:ind w:left="357"/>
        <w:rPr>
          <w:rFonts w:asciiTheme="minorHAnsi" w:hAnsiTheme="minorHAnsi" w:cstheme="minorHAnsi"/>
          <w:b/>
        </w:rPr>
      </w:pPr>
    </w:p>
    <w:p w14:paraId="08ABEF91" w14:textId="213F6E32" w:rsidR="00D61DB9" w:rsidRPr="00AC7D3B" w:rsidRDefault="00D61DB9" w:rsidP="006A0C43">
      <w:pPr>
        <w:pStyle w:val="box460819"/>
        <w:numPr>
          <w:ilvl w:val="0"/>
          <w:numId w:val="7"/>
        </w:numPr>
        <w:tabs>
          <w:tab w:val="left" w:pos="357"/>
          <w:tab w:val="right" w:leader="dot" w:pos="9072"/>
        </w:tabs>
        <w:spacing w:before="0" w:beforeAutospacing="0" w:after="0" w:afterAutospacing="0"/>
        <w:rPr>
          <w:rFonts w:asciiTheme="minorHAnsi" w:hAnsiTheme="minorHAnsi" w:cstheme="minorHAnsi"/>
          <w:b/>
        </w:rPr>
      </w:pPr>
      <w:r w:rsidRPr="00AC7D3B">
        <w:rPr>
          <w:rFonts w:asciiTheme="minorHAnsi" w:hAnsiTheme="minorHAnsi" w:cstheme="minorHAnsi"/>
          <w:b/>
        </w:rPr>
        <w:t>Kontekst vrednovanja</w:t>
      </w:r>
      <w:r w:rsidRPr="00AC7D3B">
        <w:rPr>
          <w:rFonts w:asciiTheme="minorHAnsi" w:hAnsiTheme="minorHAnsi" w:cstheme="minorHAnsi"/>
          <w:b/>
        </w:rPr>
        <w:tab/>
      </w:r>
      <w:r w:rsidR="006A0C43">
        <w:rPr>
          <w:rFonts w:asciiTheme="minorHAnsi" w:hAnsiTheme="minorHAnsi" w:cstheme="minorHAnsi"/>
          <w:b/>
        </w:rPr>
        <w:t>5</w:t>
      </w:r>
    </w:p>
    <w:p w14:paraId="47124EF0" w14:textId="77777777" w:rsidR="00D61DB9" w:rsidRPr="00AC7D3B" w:rsidRDefault="00D61DB9" w:rsidP="00D61DB9">
      <w:pPr>
        <w:pStyle w:val="box460819"/>
        <w:tabs>
          <w:tab w:val="left" w:pos="357"/>
          <w:tab w:val="right" w:leader="dot" w:pos="9072"/>
        </w:tabs>
        <w:spacing w:before="0" w:beforeAutospacing="0" w:after="0" w:afterAutospacing="0"/>
        <w:ind w:left="720"/>
        <w:rPr>
          <w:rFonts w:asciiTheme="minorHAnsi" w:hAnsiTheme="minorHAnsi" w:cstheme="minorHAnsi"/>
          <w:b/>
        </w:rPr>
      </w:pPr>
    </w:p>
    <w:p w14:paraId="246B2F0C" w14:textId="172E4D51" w:rsidR="00D61DB9" w:rsidRPr="00AC7D3B" w:rsidRDefault="00D61DB9" w:rsidP="009D0757">
      <w:pPr>
        <w:pStyle w:val="box460819"/>
        <w:numPr>
          <w:ilvl w:val="0"/>
          <w:numId w:val="7"/>
        </w:numPr>
        <w:tabs>
          <w:tab w:val="left" w:pos="357"/>
          <w:tab w:val="right" w:leader="dot" w:pos="9072"/>
        </w:tabs>
        <w:spacing w:before="0" w:beforeAutospacing="0" w:after="0" w:afterAutospacing="0"/>
        <w:rPr>
          <w:rFonts w:asciiTheme="minorHAnsi" w:hAnsiTheme="minorHAnsi" w:cstheme="minorHAnsi"/>
          <w:b/>
        </w:rPr>
      </w:pPr>
      <w:r w:rsidRPr="00AC7D3B">
        <w:rPr>
          <w:rFonts w:asciiTheme="minorHAnsi" w:hAnsiTheme="minorHAnsi" w:cstheme="minorHAnsi"/>
          <w:b/>
        </w:rPr>
        <w:t xml:space="preserve">Opis </w:t>
      </w:r>
      <w:r w:rsidR="00B267FC" w:rsidRPr="00AC7D3B">
        <w:rPr>
          <w:rFonts w:asciiTheme="minorHAnsi" w:hAnsiTheme="minorHAnsi" w:cstheme="minorHAnsi"/>
          <w:b/>
        </w:rPr>
        <w:t>akta strateškog planiranja</w:t>
      </w:r>
      <w:r w:rsidR="00D76B06" w:rsidRPr="00AC7D3B">
        <w:rPr>
          <w:rFonts w:asciiTheme="minorHAnsi" w:hAnsiTheme="minorHAnsi" w:cstheme="minorHAnsi"/>
          <w:b/>
        </w:rPr>
        <w:tab/>
      </w:r>
      <w:r w:rsidR="006A0C43">
        <w:rPr>
          <w:rFonts w:asciiTheme="minorHAnsi" w:hAnsiTheme="minorHAnsi" w:cstheme="minorHAnsi"/>
          <w:b/>
        </w:rPr>
        <w:t>7</w:t>
      </w:r>
    </w:p>
    <w:p w14:paraId="3EF89B61" w14:textId="77777777" w:rsidR="00D61DB9" w:rsidRPr="00AC7D3B" w:rsidRDefault="00D61DB9" w:rsidP="00D61DB9">
      <w:pPr>
        <w:pStyle w:val="box460819"/>
        <w:tabs>
          <w:tab w:val="left" w:pos="357"/>
          <w:tab w:val="right" w:leader="dot" w:pos="9072"/>
        </w:tabs>
        <w:spacing w:before="0" w:beforeAutospacing="0" w:after="0" w:afterAutospacing="0"/>
        <w:ind w:left="714"/>
        <w:rPr>
          <w:rFonts w:asciiTheme="minorHAnsi" w:hAnsiTheme="minorHAnsi" w:cstheme="minorHAnsi"/>
          <w:b/>
        </w:rPr>
      </w:pPr>
    </w:p>
    <w:p w14:paraId="626D9EAB" w14:textId="7701B009" w:rsidR="00D61DB9" w:rsidRPr="00AC7D3B" w:rsidRDefault="00D61DB9" w:rsidP="009D0757">
      <w:pPr>
        <w:pStyle w:val="box460819"/>
        <w:numPr>
          <w:ilvl w:val="0"/>
          <w:numId w:val="7"/>
        </w:numPr>
        <w:tabs>
          <w:tab w:val="left" w:pos="357"/>
          <w:tab w:val="right" w:leader="dot" w:pos="9072"/>
        </w:tabs>
        <w:spacing w:before="0" w:beforeAutospacing="0" w:after="0" w:afterAutospacing="0"/>
        <w:ind w:left="714" w:hanging="357"/>
        <w:rPr>
          <w:rFonts w:asciiTheme="minorHAnsi" w:hAnsiTheme="minorHAnsi" w:cstheme="minorHAnsi"/>
          <w:b/>
        </w:rPr>
      </w:pPr>
      <w:r w:rsidRPr="00AC7D3B">
        <w:rPr>
          <w:rFonts w:asciiTheme="minorHAnsi" w:hAnsiTheme="minorHAnsi" w:cstheme="minorHAnsi"/>
          <w:b/>
        </w:rPr>
        <w:t>Metodološki pristup</w:t>
      </w:r>
      <w:r w:rsidRPr="00AC7D3B">
        <w:rPr>
          <w:rFonts w:asciiTheme="minorHAnsi" w:hAnsiTheme="minorHAnsi" w:cstheme="minorHAnsi"/>
          <w:b/>
        </w:rPr>
        <w:tab/>
      </w:r>
      <w:r w:rsidR="006A0C43">
        <w:rPr>
          <w:rFonts w:asciiTheme="minorHAnsi" w:hAnsiTheme="minorHAnsi" w:cstheme="minorHAnsi"/>
          <w:b/>
        </w:rPr>
        <w:t>9</w:t>
      </w:r>
    </w:p>
    <w:p w14:paraId="226CFC6F" w14:textId="77777777" w:rsidR="00D61DB9" w:rsidRPr="00AC7D3B" w:rsidRDefault="00D61DB9" w:rsidP="00D61DB9">
      <w:pPr>
        <w:pStyle w:val="Tekstkomentara"/>
        <w:tabs>
          <w:tab w:val="left" w:pos="357"/>
          <w:tab w:val="right" w:leader="dot" w:pos="9072"/>
        </w:tabs>
        <w:spacing w:after="0"/>
        <w:ind w:left="720"/>
        <w:jc w:val="both"/>
        <w:rPr>
          <w:rFonts w:cstheme="minorHAnsi"/>
          <w:b/>
          <w:sz w:val="24"/>
          <w:szCs w:val="24"/>
        </w:rPr>
      </w:pPr>
    </w:p>
    <w:p w14:paraId="4A1D00E5" w14:textId="51875CC8" w:rsidR="00D61DB9" w:rsidRPr="00AC7D3B" w:rsidRDefault="00D61DB9" w:rsidP="009D0757">
      <w:pPr>
        <w:pStyle w:val="Tekstkomentara"/>
        <w:numPr>
          <w:ilvl w:val="0"/>
          <w:numId w:val="7"/>
        </w:numPr>
        <w:tabs>
          <w:tab w:val="left" w:pos="357"/>
          <w:tab w:val="right" w:leader="dot" w:pos="9072"/>
        </w:tabs>
        <w:spacing w:after="0"/>
        <w:jc w:val="both"/>
        <w:rPr>
          <w:rFonts w:cstheme="minorHAnsi"/>
          <w:b/>
          <w:sz w:val="24"/>
          <w:szCs w:val="24"/>
        </w:rPr>
      </w:pPr>
      <w:r w:rsidRPr="00AC7D3B">
        <w:rPr>
          <w:rFonts w:cstheme="minorHAnsi"/>
          <w:b/>
          <w:sz w:val="24"/>
          <w:szCs w:val="24"/>
        </w:rPr>
        <w:t>Nalazi</w:t>
      </w:r>
      <w:r w:rsidR="00910B7A" w:rsidRPr="00AC7D3B">
        <w:rPr>
          <w:rFonts w:cstheme="minorHAnsi"/>
          <w:b/>
          <w:sz w:val="24"/>
          <w:szCs w:val="24"/>
        </w:rPr>
        <w:tab/>
      </w:r>
      <w:r w:rsidR="006A0C43">
        <w:rPr>
          <w:rFonts w:cstheme="minorHAnsi"/>
          <w:b/>
          <w:sz w:val="24"/>
          <w:szCs w:val="24"/>
        </w:rPr>
        <w:t>14</w:t>
      </w:r>
    </w:p>
    <w:p w14:paraId="55B83179" w14:textId="77777777" w:rsidR="00D61DB9" w:rsidRPr="00AC7D3B" w:rsidRDefault="00D61DB9" w:rsidP="00D61DB9">
      <w:pPr>
        <w:pStyle w:val="Odlomakpopisa"/>
        <w:spacing w:line="240" w:lineRule="auto"/>
        <w:rPr>
          <w:rFonts w:cstheme="minorHAnsi"/>
          <w:b/>
          <w:sz w:val="24"/>
          <w:szCs w:val="24"/>
        </w:rPr>
      </w:pPr>
    </w:p>
    <w:p w14:paraId="164ED875" w14:textId="22241BB9" w:rsidR="00D61DB9" w:rsidRPr="00AC7D3B" w:rsidRDefault="00D61DB9" w:rsidP="009D0757">
      <w:pPr>
        <w:pStyle w:val="Tekstkomentara"/>
        <w:numPr>
          <w:ilvl w:val="0"/>
          <w:numId w:val="7"/>
        </w:numPr>
        <w:tabs>
          <w:tab w:val="left" w:pos="357"/>
          <w:tab w:val="right" w:leader="dot" w:pos="9072"/>
        </w:tabs>
        <w:spacing w:after="0"/>
        <w:jc w:val="both"/>
        <w:rPr>
          <w:rFonts w:cstheme="minorHAnsi"/>
          <w:b/>
          <w:sz w:val="24"/>
          <w:szCs w:val="24"/>
        </w:rPr>
      </w:pPr>
      <w:r w:rsidRPr="00AC7D3B">
        <w:rPr>
          <w:rFonts w:cstheme="minorHAnsi"/>
          <w:b/>
          <w:sz w:val="24"/>
          <w:szCs w:val="24"/>
        </w:rPr>
        <w:t>Zaključci</w:t>
      </w:r>
      <w:r w:rsidR="00910B7A" w:rsidRPr="00AC7D3B">
        <w:rPr>
          <w:rFonts w:cstheme="minorHAnsi"/>
          <w:b/>
          <w:sz w:val="24"/>
          <w:szCs w:val="24"/>
        </w:rPr>
        <w:tab/>
      </w:r>
      <w:r w:rsidR="006A0C43">
        <w:rPr>
          <w:rFonts w:cstheme="minorHAnsi"/>
          <w:b/>
          <w:sz w:val="24"/>
          <w:szCs w:val="24"/>
        </w:rPr>
        <w:t>24</w:t>
      </w:r>
    </w:p>
    <w:p w14:paraId="69D2D0C0" w14:textId="77777777" w:rsidR="00D61DB9" w:rsidRPr="00AC7D3B" w:rsidRDefault="00D61DB9" w:rsidP="00D61DB9">
      <w:pPr>
        <w:pStyle w:val="Tekstkomentara"/>
        <w:tabs>
          <w:tab w:val="left" w:pos="357"/>
          <w:tab w:val="right" w:leader="dot" w:pos="9072"/>
        </w:tabs>
        <w:spacing w:after="0"/>
        <w:ind w:left="720"/>
        <w:jc w:val="both"/>
        <w:rPr>
          <w:rFonts w:cstheme="minorHAnsi"/>
          <w:b/>
          <w:sz w:val="24"/>
          <w:szCs w:val="24"/>
          <w:highlight w:val="yellow"/>
        </w:rPr>
      </w:pPr>
    </w:p>
    <w:p w14:paraId="579F4431" w14:textId="030AC3C3" w:rsidR="00D61DB9" w:rsidRPr="00AC7D3B" w:rsidRDefault="00D61DB9" w:rsidP="009D0757">
      <w:pPr>
        <w:pStyle w:val="Tekstkomentara"/>
        <w:numPr>
          <w:ilvl w:val="0"/>
          <w:numId w:val="7"/>
        </w:numPr>
        <w:tabs>
          <w:tab w:val="left" w:pos="357"/>
          <w:tab w:val="right" w:leader="dot" w:pos="9072"/>
        </w:tabs>
        <w:spacing w:after="0"/>
        <w:jc w:val="both"/>
        <w:rPr>
          <w:rFonts w:cstheme="minorHAnsi"/>
          <w:b/>
          <w:sz w:val="24"/>
          <w:szCs w:val="24"/>
        </w:rPr>
      </w:pPr>
      <w:r w:rsidRPr="00AC7D3B">
        <w:rPr>
          <w:rFonts w:cstheme="minorHAnsi"/>
          <w:b/>
          <w:sz w:val="24"/>
          <w:szCs w:val="24"/>
        </w:rPr>
        <w:t>Pouke postupka vrednovanja</w:t>
      </w:r>
      <w:r w:rsidRPr="00AC7D3B">
        <w:rPr>
          <w:rFonts w:cstheme="minorHAnsi"/>
          <w:b/>
          <w:sz w:val="24"/>
          <w:szCs w:val="24"/>
        </w:rPr>
        <w:tab/>
      </w:r>
      <w:r w:rsidR="006A0C43">
        <w:rPr>
          <w:rFonts w:cstheme="minorHAnsi"/>
          <w:b/>
          <w:sz w:val="24"/>
          <w:szCs w:val="24"/>
        </w:rPr>
        <w:t>28</w:t>
      </w:r>
    </w:p>
    <w:p w14:paraId="140801F7" w14:textId="77777777" w:rsidR="00D61DB9" w:rsidRPr="00AC7D3B" w:rsidRDefault="00D61DB9" w:rsidP="00D61DB9">
      <w:pPr>
        <w:pStyle w:val="Odlomakpopisa"/>
        <w:spacing w:line="240" w:lineRule="auto"/>
        <w:rPr>
          <w:rFonts w:cstheme="minorHAnsi"/>
          <w:b/>
          <w:sz w:val="24"/>
          <w:szCs w:val="24"/>
        </w:rPr>
      </w:pPr>
    </w:p>
    <w:p w14:paraId="1240255E" w14:textId="276D1BC6" w:rsidR="00D61DB9" w:rsidRPr="00AC7D3B" w:rsidRDefault="00D61DB9" w:rsidP="009D0757">
      <w:pPr>
        <w:pStyle w:val="Tekstkomentara"/>
        <w:numPr>
          <w:ilvl w:val="0"/>
          <w:numId w:val="7"/>
        </w:numPr>
        <w:tabs>
          <w:tab w:val="left" w:pos="357"/>
          <w:tab w:val="right" w:leader="dot" w:pos="9072"/>
        </w:tabs>
        <w:spacing w:after="0"/>
        <w:jc w:val="both"/>
        <w:rPr>
          <w:rFonts w:cstheme="minorHAnsi"/>
          <w:b/>
          <w:sz w:val="24"/>
          <w:szCs w:val="24"/>
        </w:rPr>
      </w:pPr>
      <w:r w:rsidRPr="00AC7D3B">
        <w:rPr>
          <w:rFonts w:cstheme="minorHAnsi"/>
          <w:b/>
          <w:sz w:val="24"/>
          <w:szCs w:val="24"/>
        </w:rPr>
        <w:t>Preporuke</w:t>
      </w:r>
      <w:r w:rsidR="00910B7A" w:rsidRPr="00AC7D3B">
        <w:rPr>
          <w:rFonts w:cstheme="minorHAnsi"/>
          <w:b/>
          <w:sz w:val="24"/>
          <w:szCs w:val="24"/>
        </w:rPr>
        <w:tab/>
      </w:r>
      <w:r w:rsidR="006A0C43">
        <w:rPr>
          <w:rFonts w:cstheme="minorHAnsi"/>
          <w:b/>
          <w:sz w:val="24"/>
          <w:szCs w:val="24"/>
        </w:rPr>
        <w:t>29</w:t>
      </w:r>
    </w:p>
    <w:p w14:paraId="081ABD16" w14:textId="25C4E49B" w:rsidR="00613118" w:rsidRPr="00AC7D3B" w:rsidRDefault="00613118" w:rsidP="00613118">
      <w:pPr>
        <w:pStyle w:val="Tekstkomentara"/>
        <w:tabs>
          <w:tab w:val="left" w:pos="357"/>
          <w:tab w:val="right" w:leader="dot" w:pos="9072"/>
        </w:tabs>
        <w:spacing w:after="0"/>
        <w:jc w:val="both"/>
        <w:rPr>
          <w:rFonts w:cstheme="minorHAnsi"/>
          <w:b/>
          <w:sz w:val="24"/>
          <w:szCs w:val="24"/>
        </w:rPr>
      </w:pPr>
    </w:p>
    <w:p w14:paraId="0D82DE8F" w14:textId="70A0DC07" w:rsidR="00910B7A" w:rsidRPr="00AC7D3B" w:rsidRDefault="00910B7A" w:rsidP="00613118">
      <w:pPr>
        <w:pStyle w:val="Tekstkomentara"/>
        <w:tabs>
          <w:tab w:val="left" w:pos="357"/>
          <w:tab w:val="right" w:leader="dot" w:pos="9072"/>
        </w:tabs>
        <w:spacing w:after="0"/>
        <w:jc w:val="both"/>
        <w:rPr>
          <w:rFonts w:cstheme="minorHAnsi"/>
          <w:b/>
          <w:sz w:val="24"/>
          <w:szCs w:val="24"/>
        </w:rPr>
      </w:pPr>
    </w:p>
    <w:p w14:paraId="6625EEB4" w14:textId="77777777" w:rsidR="00910B7A" w:rsidRPr="00AC7D3B" w:rsidRDefault="00910B7A" w:rsidP="00613118">
      <w:pPr>
        <w:pStyle w:val="Tekstkomentara"/>
        <w:tabs>
          <w:tab w:val="left" w:pos="357"/>
          <w:tab w:val="right" w:leader="dot" w:pos="9072"/>
        </w:tabs>
        <w:spacing w:after="0"/>
        <w:jc w:val="both"/>
        <w:rPr>
          <w:rFonts w:cstheme="minorHAnsi"/>
          <w:b/>
          <w:sz w:val="24"/>
          <w:szCs w:val="24"/>
        </w:rPr>
      </w:pPr>
    </w:p>
    <w:p w14:paraId="23B3633D" w14:textId="7784D756" w:rsidR="00613118" w:rsidRPr="00AC7D3B" w:rsidRDefault="00613118" w:rsidP="00613118">
      <w:pPr>
        <w:pStyle w:val="Tekstkomentara"/>
        <w:tabs>
          <w:tab w:val="left" w:pos="357"/>
          <w:tab w:val="right" w:leader="dot" w:pos="9072"/>
        </w:tabs>
        <w:spacing w:after="0"/>
        <w:jc w:val="both"/>
        <w:rPr>
          <w:rFonts w:cstheme="minorHAnsi"/>
          <w:b/>
          <w:sz w:val="24"/>
          <w:szCs w:val="24"/>
        </w:rPr>
      </w:pPr>
      <w:r w:rsidRPr="00AC7D3B">
        <w:rPr>
          <w:rFonts w:cstheme="minorHAnsi"/>
          <w:b/>
          <w:sz w:val="24"/>
          <w:szCs w:val="24"/>
        </w:rPr>
        <w:t xml:space="preserve">       Prilozi</w:t>
      </w:r>
    </w:p>
    <w:p w14:paraId="1AE1ED5F" w14:textId="25F0F7FE" w:rsidR="00910B7A" w:rsidRPr="00AC7D3B" w:rsidRDefault="00910B7A" w:rsidP="00613118">
      <w:pPr>
        <w:pStyle w:val="Tekstkomentara"/>
        <w:tabs>
          <w:tab w:val="left" w:pos="357"/>
          <w:tab w:val="right" w:leader="dot" w:pos="9072"/>
        </w:tabs>
        <w:spacing w:after="0"/>
        <w:jc w:val="both"/>
        <w:rPr>
          <w:rFonts w:cstheme="minorHAnsi"/>
          <w:b/>
          <w:sz w:val="24"/>
          <w:szCs w:val="24"/>
        </w:rPr>
      </w:pPr>
    </w:p>
    <w:p w14:paraId="3D8DE424" w14:textId="49932E21" w:rsidR="00910B7A" w:rsidRPr="00AC7D3B" w:rsidRDefault="00910B7A" w:rsidP="00D76B06">
      <w:pPr>
        <w:tabs>
          <w:tab w:val="right" w:leader="dot" w:pos="9072"/>
        </w:tabs>
        <w:spacing w:after="200" w:line="276" w:lineRule="auto"/>
        <w:ind w:left="340"/>
        <w:rPr>
          <w:rFonts w:asciiTheme="majorHAnsi" w:hAnsiTheme="majorHAnsi" w:cstheme="majorHAnsi"/>
          <w:b/>
          <w:sz w:val="20"/>
          <w:lang w:eastAsia="hr-HR"/>
        </w:rPr>
      </w:pPr>
      <w:r w:rsidRPr="00AC7D3B">
        <w:rPr>
          <w:rFonts w:asciiTheme="majorHAnsi" w:hAnsiTheme="majorHAnsi" w:cstheme="majorHAnsi"/>
          <w:b/>
          <w:sz w:val="24"/>
          <w:szCs w:val="28"/>
        </w:rPr>
        <w:t>PRILOG 1</w:t>
      </w:r>
      <w:r w:rsidRPr="00AC7D3B">
        <w:rPr>
          <w:rFonts w:asciiTheme="majorHAnsi" w:hAnsiTheme="majorHAnsi" w:cstheme="majorHAnsi"/>
          <w:b/>
          <w:sz w:val="24"/>
          <w:szCs w:val="28"/>
        </w:rPr>
        <w:br/>
        <w:t>PODACI O ČLANOVIMA TIMA ZA VREDNOVANJE</w:t>
      </w:r>
      <w:r w:rsidRPr="00AC7D3B">
        <w:rPr>
          <w:rFonts w:asciiTheme="majorHAnsi" w:hAnsiTheme="majorHAnsi" w:cstheme="majorHAnsi"/>
          <w:b/>
          <w:sz w:val="24"/>
          <w:szCs w:val="28"/>
        </w:rPr>
        <w:tab/>
      </w:r>
      <w:r w:rsidR="006A0C43">
        <w:rPr>
          <w:rFonts w:asciiTheme="majorHAnsi" w:hAnsiTheme="majorHAnsi" w:cstheme="majorHAnsi"/>
          <w:b/>
          <w:sz w:val="24"/>
          <w:szCs w:val="28"/>
        </w:rPr>
        <w:t>32</w:t>
      </w:r>
    </w:p>
    <w:p w14:paraId="42F23D71" w14:textId="6854D40D" w:rsidR="00910B7A" w:rsidRPr="00AC7D3B" w:rsidRDefault="00910B7A" w:rsidP="00D76B06">
      <w:pPr>
        <w:tabs>
          <w:tab w:val="right" w:leader="dot" w:pos="9072"/>
        </w:tabs>
        <w:spacing w:after="200" w:line="276" w:lineRule="auto"/>
        <w:ind w:left="340"/>
        <w:textAlignment w:val="baseline"/>
        <w:rPr>
          <w:rFonts w:asciiTheme="majorHAnsi" w:hAnsiTheme="majorHAnsi" w:cstheme="majorHAnsi"/>
          <w:b/>
          <w:sz w:val="20"/>
          <w:lang w:eastAsia="hr-HR"/>
        </w:rPr>
      </w:pPr>
      <w:r w:rsidRPr="00AC7D3B">
        <w:rPr>
          <w:rFonts w:asciiTheme="majorHAnsi" w:hAnsiTheme="majorHAnsi" w:cstheme="majorHAnsi"/>
          <w:b/>
          <w:sz w:val="24"/>
          <w:szCs w:val="28"/>
        </w:rPr>
        <w:t>PRILOG 2</w:t>
      </w:r>
      <w:r w:rsidRPr="00AC7D3B">
        <w:rPr>
          <w:rFonts w:asciiTheme="majorHAnsi" w:hAnsiTheme="majorHAnsi" w:cstheme="majorHAnsi"/>
          <w:b/>
          <w:sz w:val="24"/>
          <w:szCs w:val="28"/>
        </w:rPr>
        <w:br/>
      </w:r>
      <w:r w:rsidRPr="00AC7D3B">
        <w:rPr>
          <w:rFonts w:asciiTheme="majorHAnsi" w:eastAsia="Times New Roman" w:hAnsiTheme="majorHAnsi" w:cstheme="majorHAnsi"/>
          <w:b/>
          <w:sz w:val="24"/>
          <w:szCs w:val="28"/>
        </w:rPr>
        <w:t>OPIS I VREMENIK PROVEDBE POSTUPKA VREDNOVANJA</w:t>
      </w:r>
      <w:r w:rsidRPr="00AC7D3B">
        <w:rPr>
          <w:rFonts w:asciiTheme="majorHAnsi" w:eastAsia="Times New Roman" w:hAnsiTheme="majorHAnsi" w:cstheme="majorHAnsi"/>
          <w:b/>
          <w:sz w:val="24"/>
          <w:szCs w:val="28"/>
        </w:rPr>
        <w:tab/>
      </w:r>
      <w:r w:rsidR="006A0C43">
        <w:rPr>
          <w:rFonts w:asciiTheme="majorHAnsi" w:eastAsia="Times New Roman" w:hAnsiTheme="majorHAnsi" w:cstheme="majorHAnsi"/>
          <w:b/>
          <w:sz w:val="24"/>
          <w:szCs w:val="28"/>
        </w:rPr>
        <w:t>34</w:t>
      </w:r>
    </w:p>
    <w:p w14:paraId="6EC92262" w14:textId="500ADB80" w:rsidR="00910B7A" w:rsidRPr="00AC7D3B" w:rsidRDefault="00910B7A" w:rsidP="00D76B06">
      <w:pPr>
        <w:tabs>
          <w:tab w:val="right" w:leader="dot" w:pos="9072"/>
        </w:tabs>
        <w:spacing w:after="200" w:line="276" w:lineRule="auto"/>
        <w:ind w:left="340"/>
        <w:rPr>
          <w:rFonts w:asciiTheme="majorHAnsi" w:eastAsia="Times New Roman" w:hAnsiTheme="majorHAnsi" w:cstheme="majorHAnsi"/>
          <w:b/>
          <w:sz w:val="24"/>
          <w:szCs w:val="28"/>
        </w:rPr>
      </w:pPr>
      <w:r w:rsidRPr="00AC7D3B">
        <w:rPr>
          <w:rFonts w:asciiTheme="majorHAnsi" w:hAnsiTheme="majorHAnsi" w:cstheme="majorHAnsi"/>
          <w:b/>
          <w:sz w:val="24"/>
          <w:szCs w:val="28"/>
        </w:rPr>
        <w:t>PRILOG 3</w:t>
      </w:r>
      <w:r w:rsidRPr="00AC7D3B">
        <w:rPr>
          <w:rFonts w:asciiTheme="majorHAnsi" w:hAnsiTheme="majorHAnsi" w:cstheme="majorHAnsi"/>
          <w:b/>
          <w:sz w:val="24"/>
          <w:szCs w:val="28"/>
        </w:rPr>
        <w:br/>
      </w:r>
      <w:r w:rsidRPr="00AC7D3B">
        <w:rPr>
          <w:rFonts w:asciiTheme="majorHAnsi" w:eastAsia="Times New Roman" w:hAnsiTheme="majorHAnsi" w:cstheme="majorHAnsi"/>
          <w:b/>
          <w:sz w:val="24"/>
          <w:szCs w:val="28"/>
        </w:rPr>
        <w:t>OPIS KORIŠTENE METODOLOGIJE VREDNOVANJA I OGRANIČENJA ISTRAŽIVANJA</w:t>
      </w:r>
      <w:r w:rsidRPr="00AC7D3B">
        <w:rPr>
          <w:rFonts w:asciiTheme="majorHAnsi" w:eastAsia="Times New Roman" w:hAnsiTheme="majorHAnsi" w:cstheme="majorHAnsi"/>
          <w:b/>
          <w:sz w:val="24"/>
          <w:szCs w:val="28"/>
        </w:rPr>
        <w:tab/>
      </w:r>
      <w:r w:rsidR="006A0C43">
        <w:rPr>
          <w:rFonts w:asciiTheme="majorHAnsi" w:eastAsia="Times New Roman" w:hAnsiTheme="majorHAnsi" w:cstheme="majorHAnsi"/>
          <w:b/>
          <w:sz w:val="24"/>
          <w:szCs w:val="28"/>
        </w:rPr>
        <w:t>35</w:t>
      </w:r>
    </w:p>
    <w:p w14:paraId="2250A016" w14:textId="6BA791DE" w:rsidR="00631F85" w:rsidRDefault="00910B7A" w:rsidP="00844412">
      <w:pPr>
        <w:tabs>
          <w:tab w:val="right" w:leader="dot" w:pos="9072"/>
        </w:tabs>
        <w:spacing w:after="200" w:line="276" w:lineRule="auto"/>
        <w:ind w:left="340"/>
        <w:rPr>
          <w:rFonts w:asciiTheme="majorHAnsi" w:eastAsia="Times New Roman" w:hAnsiTheme="majorHAnsi" w:cstheme="majorHAnsi"/>
          <w:sz w:val="24"/>
          <w:szCs w:val="28"/>
        </w:rPr>
      </w:pPr>
      <w:r w:rsidRPr="00AC7D3B">
        <w:rPr>
          <w:rFonts w:asciiTheme="majorHAnsi" w:hAnsiTheme="majorHAnsi" w:cstheme="majorHAnsi"/>
          <w:b/>
          <w:sz w:val="24"/>
          <w:szCs w:val="28"/>
        </w:rPr>
        <w:t>PRILOG 4</w:t>
      </w:r>
      <w:r w:rsidRPr="00AC7D3B">
        <w:rPr>
          <w:rFonts w:asciiTheme="majorHAnsi" w:hAnsiTheme="majorHAnsi" w:cstheme="majorHAnsi"/>
          <w:b/>
          <w:sz w:val="24"/>
          <w:szCs w:val="28"/>
        </w:rPr>
        <w:br/>
      </w:r>
      <w:r w:rsidRPr="00AC7D3B">
        <w:rPr>
          <w:rFonts w:asciiTheme="majorHAnsi" w:eastAsia="Times New Roman" w:hAnsiTheme="majorHAnsi" w:cstheme="majorHAnsi"/>
          <w:b/>
          <w:sz w:val="24"/>
          <w:szCs w:val="28"/>
        </w:rPr>
        <w:t xml:space="preserve">POPIS IZVORA PODATAKA, DOKUMENATA, UPITNIKA ILI DRUGIH INSTRUMENATA </w:t>
      </w:r>
      <w:r w:rsidR="00156D40" w:rsidRPr="00AC7D3B">
        <w:rPr>
          <w:rFonts w:asciiTheme="majorHAnsi" w:eastAsia="Times New Roman" w:hAnsiTheme="majorHAnsi" w:cstheme="majorHAnsi"/>
          <w:b/>
          <w:sz w:val="24"/>
          <w:szCs w:val="28"/>
        </w:rPr>
        <w:br/>
      </w:r>
      <w:r w:rsidRPr="00AC7D3B">
        <w:rPr>
          <w:rFonts w:asciiTheme="majorHAnsi" w:eastAsia="Times New Roman" w:hAnsiTheme="majorHAnsi" w:cstheme="majorHAnsi"/>
          <w:b/>
          <w:sz w:val="24"/>
          <w:szCs w:val="28"/>
        </w:rPr>
        <w:t>KORIŠTENIH TIJEKOM PROVEDBE POSTUPKA VREDNOVANJA</w:t>
      </w:r>
      <w:r w:rsidRPr="00631F85">
        <w:rPr>
          <w:rFonts w:asciiTheme="majorHAnsi" w:eastAsia="Times New Roman" w:hAnsiTheme="majorHAnsi" w:cstheme="majorHAnsi"/>
          <w:b/>
          <w:sz w:val="24"/>
          <w:szCs w:val="28"/>
        </w:rPr>
        <w:tab/>
      </w:r>
      <w:r w:rsidR="006A0C43">
        <w:rPr>
          <w:rFonts w:asciiTheme="majorHAnsi" w:eastAsia="Times New Roman" w:hAnsiTheme="majorHAnsi" w:cstheme="majorHAnsi"/>
          <w:b/>
          <w:sz w:val="24"/>
          <w:szCs w:val="28"/>
        </w:rPr>
        <w:t>37</w:t>
      </w:r>
    </w:p>
    <w:p w14:paraId="2D53DC5C" w14:textId="3DEAFD7F" w:rsidR="00844412" w:rsidRDefault="004A339F" w:rsidP="00844412">
      <w:pPr>
        <w:tabs>
          <w:tab w:val="right" w:leader="dot" w:pos="9072"/>
        </w:tabs>
        <w:spacing w:after="200" w:line="276" w:lineRule="auto"/>
        <w:ind w:left="340"/>
      </w:pPr>
      <w:r w:rsidRPr="00301F43">
        <w:br w:type="column"/>
      </w:r>
    </w:p>
    <w:p w14:paraId="7B0BD131" w14:textId="77777777" w:rsidR="0069704D" w:rsidRPr="00D61498" w:rsidRDefault="0069704D" w:rsidP="00844412">
      <w:pPr>
        <w:tabs>
          <w:tab w:val="right" w:leader="dot" w:pos="9072"/>
        </w:tabs>
        <w:spacing w:after="200" w:line="276" w:lineRule="auto"/>
        <w:ind w:left="340"/>
        <w:rPr>
          <w:rFonts w:asciiTheme="majorHAnsi" w:eastAsia="Times New Roman" w:hAnsiTheme="majorHAnsi" w:cstheme="majorHAnsi"/>
          <w:sz w:val="24"/>
          <w:szCs w:val="28"/>
        </w:rPr>
      </w:pPr>
    </w:p>
    <w:tbl>
      <w:tblPr>
        <w:tblStyle w:val="Reetkatablice"/>
        <w:tblW w:w="0" w:type="auto"/>
        <w:tblLook w:val="04A0" w:firstRow="1" w:lastRow="0" w:firstColumn="1" w:lastColumn="0" w:noHBand="0" w:noVBand="1"/>
      </w:tblPr>
      <w:tblGrid>
        <w:gridCol w:w="2405"/>
        <w:gridCol w:w="6657"/>
      </w:tblGrid>
      <w:tr w:rsidR="00844412" w:rsidRPr="00197108" w14:paraId="09A78CA2" w14:textId="77777777" w:rsidTr="00844412">
        <w:tc>
          <w:tcPr>
            <w:tcW w:w="9062" w:type="dxa"/>
            <w:gridSpan w:val="2"/>
          </w:tcPr>
          <w:p w14:paraId="05397E1B" w14:textId="77777777" w:rsidR="00844412" w:rsidRPr="00B63D6B" w:rsidRDefault="00844412" w:rsidP="00844412">
            <w:pPr>
              <w:pStyle w:val="StandardWeb"/>
              <w:shd w:val="clear" w:color="auto" w:fill="FFFFFF"/>
              <w:jc w:val="center"/>
              <w:rPr>
                <w:rFonts w:asciiTheme="minorHAnsi" w:hAnsiTheme="minorHAnsi" w:cstheme="minorHAnsi"/>
                <w:b/>
                <w:bCs/>
                <w:color w:val="333333"/>
                <w:sz w:val="40"/>
                <w:szCs w:val="40"/>
                <w:highlight w:val="yellow"/>
              </w:rPr>
            </w:pPr>
            <w:r w:rsidRPr="0069704D">
              <w:rPr>
                <w:rFonts w:asciiTheme="minorHAnsi" w:hAnsiTheme="minorHAnsi" w:cstheme="minorHAnsi"/>
                <w:b/>
                <w:bCs/>
                <w:color w:val="333333"/>
                <w:sz w:val="40"/>
                <w:szCs w:val="40"/>
              </w:rPr>
              <w:t>POPIS KRATICA</w:t>
            </w:r>
          </w:p>
        </w:tc>
      </w:tr>
      <w:tr w:rsidR="00202FEB" w:rsidRPr="00197108" w14:paraId="562A52A4" w14:textId="77777777" w:rsidTr="00844412">
        <w:tc>
          <w:tcPr>
            <w:tcW w:w="2405" w:type="dxa"/>
          </w:tcPr>
          <w:p w14:paraId="5F344F8D"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CLLD</w:t>
            </w:r>
          </w:p>
        </w:tc>
        <w:tc>
          <w:tcPr>
            <w:tcW w:w="6657" w:type="dxa"/>
          </w:tcPr>
          <w:p w14:paraId="74DCD027" w14:textId="7D88CB05" w:rsidR="00202FEB"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eastAsia="Calibri" w:hAnsiTheme="minorHAnsi" w:cstheme="minorHAnsi"/>
                <w:bCs/>
                <w:sz w:val="22"/>
                <w:szCs w:val="22"/>
              </w:rPr>
              <w:t xml:space="preserve">Lokalni razvoj pod vodstvom zajednice (engl. </w:t>
            </w:r>
            <w:r w:rsidRPr="0069704D">
              <w:rPr>
                <w:rFonts w:asciiTheme="minorHAnsi" w:eastAsia="Calibri" w:hAnsiTheme="minorHAnsi" w:cstheme="minorHAnsi"/>
                <w:bCs/>
                <w:i/>
                <w:sz w:val="22"/>
                <w:szCs w:val="22"/>
              </w:rPr>
              <w:t>Community-led Local Development</w:t>
            </w:r>
            <w:r w:rsidRPr="0069704D">
              <w:rPr>
                <w:rFonts w:asciiTheme="minorHAnsi" w:eastAsia="Calibri" w:hAnsiTheme="minorHAnsi" w:cstheme="minorHAnsi"/>
                <w:bCs/>
                <w:sz w:val="22"/>
                <w:szCs w:val="22"/>
              </w:rPr>
              <w:t>)</w:t>
            </w:r>
          </w:p>
        </w:tc>
      </w:tr>
      <w:tr w:rsidR="00202FEB" w:rsidRPr="00197108" w14:paraId="52AC0C8B" w14:textId="77777777" w:rsidTr="00844412">
        <w:tc>
          <w:tcPr>
            <w:tcW w:w="2405" w:type="dxa"/>
          </w:tcPr>
          <w:p w14:paraId="30B13BC4" w14:textId="46F2FADC"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DZS</w:t>
            </w:r>
          </w:p>
        </w:tc>
        <w:tc>
          <w:tcPr>
            <w:tcW w:w="6657" w:type="dxa"/>
          </w:tcPr>
          <w:p w14:paraId="1A4E8E0B"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Državni zavod za statistiku</w:t>
            </w:r>
          </w:p>
        </w:tc>
      </w:tr>
      <w:tr w:rsidR="00202FEB" w:rsidRPr="00197108" w14:paraId="5303FFA3" w14:textId="77777777" w:rsidTr="00844412">
        <w:tc>
          <w:tcPr>
            <w:tcW w:w="2405" w:type="dxa"/>
          </w:tcPr>
          <w:p w14:paraId="2D6A1474"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EK</w:t>
            </w:r>
          </w:p>
        </w:tc>
        <w:tc>
          <w:tcPr>
            <w:tcW w:w="6657" w:type="dxa"/>
          </w:tcPr>
          <w:p w14:paraId="599F6574" w14:textId="5FA8FE5B" w:rsidR="00202FEB"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Europska komisija</w:t>
            </w:r>
          </w:p>
        </w:tc>
      </w:tr>
      <w:tr w:rsidR="0069704D" w:rsidRPr="00197108" w14:paraId="330DA203" w14:textId="77777777" w:rsidTr="00844412">
        <w:tc>
          <w:tcPr>
            <w:tcW w:w="2405" w:type="dxa"/>
          </w:tcPr>
          <w:p w14:paraId="69BED1B3" w14:textId="68513B88" w:rsidR="0069704D" w:rsidRPr="0069704D" w:rsidRDefault="0069704D" w:rsidP="00202FEB">
            <w:pPr>
              <w:pStyle w:val="StandardWeb"/>
              <w:shd w:val="clear" w:color="auto" w:fill="FFFFFF"/>
              <w:jc w:val="center"/>
              <w:rPr>
                <w:rFonts w:asciiTheme="minorHAnsi" w:hAnsiTheme="minorHAnsi" w:cstheme="minorHAnsi"/>
                <w:sz w:val="22"/>
                <w:szCs w:val="22"/>
              </w:rPr>
            </w:pPr>
            <w:r w:rsidRPr="0069704D">
              <w:rPr>
                <w:rFonts w:asciiTheme="minorHAnsi" w:hAnsiTheme="minorHAnsi" w:cstheme="minorHAnsi"/>
                <w:sz w:val="22"/>
                <w:szCs w:val="22"/>
              </w:rPr>
              <w:t>EU</w:t>
            </w:r>
          </w:p>
        </w:tc>
        <w:tc>
          <w:tcPr>
            <w:tcW w:w="6657" w:type="dxa"/>
          </w:tcPr>
          <w:p w14:paraId="587F9F43" w14:textId="1EC6F3B3" w:rsidR="0069704D"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Europska unija</w:t>
            </w:r>
          </w:p>
        </w:tc>
      </w:tr>
      <w:tr w:rsidR="00202FEB" w:rsidRPr="00197108" w14:paraId="527FF6FE" w14:textId="77777777" w:rsidTr="00844412">
        <w:tc>
          <w:tcPr>
            <w:tcW w:w="2405" w:type="dxa"/>
          </w:tcPr>
          <w:p w14:paraId="5B72EAA7"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HR</w:t>
            </w:r>
          </w:p>
        </w:tc>
        <w:tc>
          <w:tcPr>
            <w:tcW w:w="6657" w:type="dxa"/>
          </w:tcPr>
          <w:p w14:paraId="62A0EBB9" w14:textId="3BBC4ED5" w:rsidR="00202FEB"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Republika Hrvatska</w:t>
            </w:r>
          </w:p>
        </w:tc>
      </w:tr>
      <w:tr w:rsidR="00202FEB" w:rsidRPr="00197108" w14:paraId="51570337" w14:textId="77777777" w:rsidTr="00844412">
        <w:tc>
          <w:tcPr>
            <w:tcW w:w="2405" w:type="dxa"/>
          </w:tcPr>
          <w:p w14:paraId="12333F80"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LEADER</w:t>
            </w:r>
          </w:p>
        </w:tc>
        <w:tc>
          <w:tcPr>
            <w:tcW w:w="6657" w:type="dxa"/>
          </w:tcPr>
          <w:p w14:paraId="5317C114" w14:textId="6C3D9279" w:rsidR="00202FEB"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eastAsia="Calibri" w:hAnsiTheme="minorHAnsi" w:cstheme="minorHAnsi"/>
                <w:sz w:val="22"/>
                <w:szCs w:val="22"/>
              </w:rPr>
              <w:t xml:space="preserve">Veza među aktivnostima razvoja ruralnog gospodarstva (franc. </w:t>
            </w:r>
            <w:r w:rsidRPr="0069704D">
              <w:rPr>
                <w:rFonts w:asciiTheme="minorHAnsi" w:eastAsia="Calibri" w:hAnsiTheme="minorHAnsi" w:cstheme="minorHAnsi"/>
                <w:i/>
                <w:sz w:val="22"/>
                <w:szCs w:val="22"/>
              </w:rPr>
              <w:t>Liaison Entre Actions de Développement de l’Économie Rurale)</w:t>
            </w:r>
          </w:p>
        </w:tc>
      </w:tr>
      <w:tr w:rsidR="00202FEB" w:rsidRPr="00197108" w14:paraId="3A90F59D" w14:textId="77777777" w:rsidTr="00844412">
        <w:tc>
          <w:tcPr>
            <w:tcW w:w="2405" w:type="dxa"/>
          </w:tcPr>
          <w:p w14:paraId="122344DA"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NPOO</w:t>
            </w:r>
          </w:p>
        </w:tc>
        <w:tc>
          <w:tcPr>
            <w:tcW w:w="6657" w:type="dxa"/>
          </w:tcPr>
          <w:p w14:paraId="6E1519F0" w14:textId="3D0B15B9" w:rsidR="00202FEB"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eastAsia="Calibri" w:hAnsiTheme="minorHAnsi" w:cstheme="minorHAnsi"/>
                <w:sz w:val="22"/>
                <w:szCs w:val="22"/>
              </w:rPr>
              <w:t>Nacionalni plan oporavka i otpornosti 2021. – 2026.</w:t>
            </w:r>
          </w:p>
        </w:tc>
      </w:tr>
      <w:tr w:rsidR="00202FEB" w:rsidRPr="00197108" w14:paraId="36C3C5CE" w14:textId="77777777" w:rsidTr="00844412">
        <w:tc>
          <w:tcPr>
            <w:tcW w:w="2405" w:type="dxa"/>
          </w:tcPr>
          <w:p w14:paraId="662B5163" w14:textId="77777777" w:rsidR="00202FEB" w:rsidRPr="0069704D" w:rsidRDefault="00202FEB" w:rsidP="00844412">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NRS 2030</w:t>
            </w:r>
          </w:p>
        </w:tc>
        <w:tc>
          <w:tcPr>
            <w:tcW w:w="6657" w:type="dxa"/>
          </w:tcPr>
          <w:p w14:paraId="26DE3C80" w14:textId="77777777" w:rsidR="00202FEB" w:rsidRPr="0069704D" w:rsidRDefault="00202FEB" w:rsidP="00844412">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Nacionalna razvojna strategija do 2030. godine</w:t>
            </w:r>
          </w:p>
        </w:tc>
      </w:tr>
      <w:tr w:rsidR="00202FEB" w:rsidRPr="00197108" w14:paraId="7DC491F6" w14:textId="77777777" w:rsidTr="00844412">
        <w:tc>
          <w:tcPr>
            <w:tcW w:w="2405" w:type="dxa"/>
          </w:tcPr>
          <w:p w14:paraId="0F88385F" w14:textId="6B50B92E"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PM</w:t>
            </w:r>
          </w:p>
        </w:tc>
        <w:tc>
          <w:tcPr>
            <w:tcW w:w="6657" w:type="dxa"/>
          </w:tcPr>
          <w:p w14:paraId="77E74164"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Provedbeni mehanizam</w:t>
            </w:r>
          </w:p>
        </w:tc>
      </w:tr>
      <w:tr w:rsidR="00202FEB" w:rsidRPr="00197108" w14:paraId="5D828A81" w14:textId="77777777" w:rsidTr="00844412">
        <w:tc>
          <w:tcPr>
            <w:tcW w:w="2405" w:type="dxa"/>
          </w:tcPr>
          <w:p w14:paraId="79207549" w14:textId="12DD181E"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SC</w:t>
            </w:r>
          </w:p>
        </w:tc>
        <w:tc>
          <w:tcPr>
            <w:tcW w:w="6657" w:type="dxa"/>
          </w:tcPr>
          <w:p w14:paraId="6D407983"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Strateški cilj</w:t>
            </w:r>
          </w:p>
        </w:tc>
      </w:tr>
      <w:tr w:rsidR="00202FEB" w:rsidRPr="00197108" w14:paraId="4E3CCE5A" w14:textId="77777777" w:rsidTr="00844412">
        <w:tc>
          <w:tcPr>
            <w:tcW w:w="2405" w:type="dxa"/>
          </w:tcPr>
          <w:p w14:paraId="740850B3" w14:textId="77777777" w:rsidR="00202FEB" w:rsidRPr="0069704D" w:rsidRDefault="00202FEB" w:rsidP="00844412">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Strategija</w:t>
            </w:r>
          </w:p>
        </w:tc>
        <w:tc>
          <w:tcPr>
            <w:tcW w:w="6657" w:type="dxa"/>
          </w:tcPr>
          <w:p w14:paraId="7E0CDB0F" w14:textId="77777777" w:rsidR="00202FEB" w:rsidRPr="0069704D" w:rsidRDefault="00202FEB" w:rsidP="00844412">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color w:val="333333"/>
                <w:sz w:val="22"/>
                <w:szCs w:val="22"/>
              </w:rPr>
              <w:t xml:space="preserve">Strategija biogospodarstva do 2035. </w:t>
            </w:r>
          </w:p>
        </w:tc>
      </w:tr>
      <w:tr w:rsidR="00202FEB" w:rsidRPr="00197108" w14:paraId="6789E5F0" w14:textId="77777777" w:rsidTr="00844412">
        <w:tc>
          <w:tcPr>
            <w:tcW w:w="2405" w:type="dxa"/>
          </w:tcPr>
          <w:p w14:paraId="0DC52EEF" w14:textId="77777777" w:rsidR="00202FEB" w:rsidRPr="0069704D" w:rsidRDefault="00202FEB"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hAnsiTheme="minorHAnsi" w:cstheme="minorHAnsi"/>
                <w:sz w:val="22"/>
                <w:szCs w:val="22"/>
              </w:rPr>
              <w:t>SWOT</w:t>
            </w:r>
          </w:p>
        </w:tc>
        <w:tc>
          <w:tcPr>
            <w:tcW w:w="6657" w:type="dxa"/>
          </w:tcPr>
          <w:p w14:paraId="60A6514D" w14:textId="5A1AA469" w:rsidR="00202FEB" w:rsidRPr="0069704D" w:rsidRDefault="0069704D" w:rsidP="00202FEB">
            <w:pPr>
              <w:pStyle w:val="StandardWeb"/>
              <w:shd w:val="clear" w:color="auto" w:fill="FFFFFF"/>
              <w:jc w:val="center"/>
              <w:rPr>
                <w:rFonts w:asciiTheme="minorHAnsi" w:hAnsiTheme="minorHAnsi" w:cstheme="minorHAnsi"/>
                <w:color w:val="333333"/>
                <w:sz w:val="22"/>
                <w:szCs w:val="22"/>
              </w:rPr>
            </w:pPr>
            <w:r w:rsidRPr="0069704D">
              <w:rPr>
                <w:rFonts w:asciiTheme="minorHAnsi" w:eastAsia="Calibri" w:hAnsiTheme="minorHAnsi" w:cstheme="minorHAnsi"/>
                <w:iCs/>
                <w:sz w:val="22"/>
                <w:szCs w:val="22"/>
              </w:rPr>
              <w:t xml:space="preserve">Analiza snaga, slabosti, prilika i prijetnji (engl. </w:t>
            </w:r>
            <w:r w:rsidRPr="0069704D">
              <w:rPr>
                <w:rFonts w:asciiTheme="minorHAnsi" w:eastAsia="Calibri" w:hAnsiTheme="minorHAnsi" w:cstheme="minorHAnsi"/>
                <w:i/>
                <w:iCs/>
                <w:sz w:val="22"/>
                <w:szCs w:val="22"/>
              </w:rPr>
              <w:t>streng</w:t>
            </w:r>
            <w:r w:rsidR="005617E7">
              <w:rPr>
                <w:rFonts w:asciiTheme="minorHAnsi" w:eastAsia="Calibri" w:hAnsiTheme="minorHAnsi" w:cstheme="minorHAnsi"/>
                <w:i/>
                <w:iCs/>
                <w:sz w:val="22"/>
                <w:szCs w:val="22"/>
              </w:rPr>
              <w:t>ths</w:t>
            </w:r>
            <w:r w:rsidRPr="0069704D">
              <w:rPr>
                <w:rFonts w:asciiTheme="minorHAnsi" w:eastAsia="Calibri" w:hAnsiTheme="minorHAnsi" w:cstheme="minorHAnsi"/>
                <w:i/>
                <w:iCs/>
                <w:sz w:val="22"/>
                <w:szCs w:val="22"/>
              </w:rPr>
              <w:t>, weakness</w:t>
            </w:r>
            <w:r w:rsidR="005617E7">
              <w:rPr>
                <w:rFonts w:asciiTheme="minorHAnsi" w:eastAsia="Calibri" w:hAnsiTheme="minorHAnsi" w:cstheme="minorHAnsi"/>
                <w:i/>
                <w:iCs/>
                <w:sz w:val="22"/>
                <w:szCs w:val="22"/>
              </w:rPr>
              <w:t>es</w:t>
            </w:r>
            <w:r w:rsidRPr="0069704D">
              <w:rPr>
                <w:rFonts w:asciiTheme="minorHAnsi" w:eastAsia="Calibri" w:hAnsiTheme="minorHAnsi" w:cstheme="minorHAnsi"/>
                <w:i/>
                <w:iCs/>
                <w:sz w:val="22"/>
                <w:szCs w:val="22"/>
              </w:rPr>
              <w:t>, opportunities, threats</w:t>
            </w:r>
            <w:r w:rsidRPr="0069704D">
              <w:rPr>
                <w:rFonts w:asciiTheme="minorHAnsi" w:eastAsia="Calibri" w:hAnsiTheme="minorHAnsi" w:cstheme="minorHAnsi"/>
                <w:iCs/>
                <w:sz w:val="22"/>
                <w:szCs w:val="22"/>
              </w:rPr>
              <w:t>)</w:t>
            </w:r>
          </w:p>
        </w:tc>
      </w:tr>
    </w:tbl>
    <w:p w14:paraId="671F99DC" w14:textId="77777777" w:rsidR="00361941" w:rsidRPr="00700B84" w:rsidRDefault="00361941" w:rsidP="007F1959">
      <w:pPr>
        <w:spacing w:after="200" w:line="276" w:lineRule="auto"/>
        <w:jc w:val="both"/>
        <w:rPr>
          <w:rFonts w:asciiTheme="majorHAnsi" w:hAnsiTheme="majorHAnsi" w:cstheme="majorHAnsi"/>
        </w:rPr>
      </w:pPr>
    </w:p>
    <w:p w14:paraId="724F061C" w14:textId="234363FF" w:rsidR="007F1959" w:rsidRPr="00C877C6" w:rsidRDefault="007F1959" w:rsidP="007F1959">
      <w:pPr>
        <w:spacing w:after="200" w:line="276" w:lineRule="auto"/>
        <w:jc w:val="both"/>
        <w:rPr>
          <w:rFonts w:asciiTheme="majorHAnsi" w:hAnsiTheme="majorHAnsi" w:cstheme="majorHAnsi"/>
          <w:b/>
          <w:sz w:val="28"/>
          <w:szCs w:val="28"/>
        </w:rPr>
      </w:pPr>
    </w:p>
    <w:p w14:paraId="033EF38E" w14:textId="47215A38" w:rsidR="00C61184" w:rsidRPr="00DA370D" w:rsidRDefault="00C51AFF" w:rsidP="00844412">
      <w:pPr>
        <w:spacing w:after="200" w:line="276" w:lineRule="auto"/>
        <w:jc w:val="both"/>
        <w:rPr>
          <w:rFonts w:cstheme="minorHAnsi"/>
          <w:sz w:val="28"/>
          <w:szCs w:val="28"/>
          <w:lang w:eastAsia="hr-HR"/>
        </w:rPr>
      </w:pPr>
      <w:r>
        <w:rPr>
          <w:rFonts w:cstheme="minorHAnsi"/>
          <w:sz w:val="28"/>
          <w:szCs w:val="28"/>
          <w:lang w:eastAsia="hr-HR"/>
        </w:rPr>
        <w:br w:type="column"/>
      </w:r>
    </w:p>
    <w:p w14:paraId="2AAF4E50" w14:textId="4BE42DF7" w:rsidR="00844412" w:rsidRDefault="00F67CF9" w:rsidP="00B34564">
      <w:pPr>
        <w:pStyle w:val="Naslov1"/>
        <w:rPr>
          <w:b/>
        </w:rPr>
      </w:pPr>
      <w:r>
        <w:rPr>
          <w:b/>
        </w:rPr>
        <w:t>1</w:t>
      </w:r>
      <w:r w:rsidR="00844412" w:rsidRPr="00C877C6">
        <w:rPr>
          <w:b/>
        </w:rPr>
        <w:t xml:space="preserve">. UVOD </w:t>
      </w:r>
    </w:p>
    <w:p w14:paraId="1F4631D6" w14:textId="77777777" w:rsidR="00C877C6" w:rsidRPr="00C877C6" w:rsidRDefault="00C877C6" w:rsidP="00C877C6"/>
    <w:p w14:paraId="024F3677" w14:textId="3FC330AF" w:rsidR="009126FA" w:rsidRPr="00154905" w:rsidRDefault="007E166C" w:rsidP="00323FC0">
      <w:pPr>
        <w:jc w:val="both"/>
        <w:rPr>
          <w:rFonts w:cstheme="minorHAnsi"/>
          <w:lang w:eastAsia="hr-HR"/>
        </w:rPr>
      </w:pPr>
      <w:r>
        <w:rPr>
          <w:lang w:eastAsia="hr-HR"/>
        </w:rPr>
        <w:t>I</w:t>
      </w:r>
      <w:r w:rsidR="009126FA" w:rsidRPr="00154905">
        <w:rPr>
          <w:lang w:eastAsia="hr-HR"/>
        </w:rPr>
        <w:t xml:space="preserve">zvješće </w:t>
      </w:r>
      <w:r w:rsidR="009126FA" w:rsidRPr="00154905">
        <w:t>o provedbi vrednovanja Strategije razvoja biogospodarstva do 2035.</w:t>
      </w:r>
      <w:r w:rsidR="009126FA" w:rsidRPr="00154905">
        <w:rPr>
          <w:lang w:eastAsia="hr-HR"/>
        </w:rPr>
        <w:t xml:space="preserve"> pripremljeno je u skladu s Evidencijskim brojem ugovora:  198/2023/JN o nabavi usluga </w:t>
      </w:r>
      <w:r w:rsidR="009126FA" w:rsidRPr="00154905">
        <w:rPr>
          <w:b/>
          <w:i/>
          <w:lang w:eastAsia="hr-HR"/>
        </w:rPr>
        <w:t xml:space="preserve">Prethodnog vrednovanja </w:t>
      </w:r>
      <w:r w:rsidR="007F1959" w:rsidRPr="00154905">
        <w:rPr>
          <w:b/>
          <w:i/>
          <w:lang w:eastAsia="hr-HR"/>
        </w:rPr>
        <w:t>Strategije Biogospodarstva do 2035.</w:t>
      </w:r>
      <w:r w:rsidR="007F1959" w:rsidRPr="00154905">
        <w:rPr>
          <w:lang w:eastAsia="hr-HR"/>
        </w:rPr>
        <w:t>,</w:t>
      </w:r>
      <w:r w:rsidR="009126FA" w:rsidRPr="00154905">
        <w:rPr>
          <w:lang w:eastAsia="hr-HR"/>
        </w:rPr>
        <w:t xml:space="preserve">od 26. lipnja 2023. Za provedbu navedene usluge Naručitelj, Ministarstvo poljoprivrede, zadužio je Institut za razvoj i </w:t>
      </w:r>
      <w:r w:rsidR="009126FA" w:rsidRPr="00154905">
        <w:rPr>
          <w:rFonts w:cstheme="minorHAnsi"/>
          <w:lang w:eastAsia="hr-HR"/>
        </w:rPr>
        <w:t>međunarodne odnose iz Zagreba.</w:t>
      </w:r>
    </w:p>
    <w:p w14:paraId="33E91D6B" w14:textId="1FFB79EC" w:rsidR="009126FA" w:rsidRPr="00154905" w:rsidRDefault="009126FA" w:rsidP="009126FA">
      <w:pPr>
        <w:spacing w:before="100" w:beforeAutospacing="1" w:after="100" w:afterAutospacing="1" w:line="240" w:lineRule="auto"/>
        <w:rPr>
          <w:rFonts w:cstheme="minorHAnsi"/>
        </w:rPr>
      </w:pPr>
      <w:r w:rsidRPr="00154905">
        <w:rPr>
          <w:rFonts w:eastAsia="Times New Roman" w:cstheme="minorHAnsi"/>
        </w:rPr>
        <w:t> </w:t>
      </w:r>
      <w:r w:rsidRPr="00154905">
        <w:rPr>
          <w:rFonts w:cstheme="minorHAnsi"/>
        </w:rPr>
        <w:t>Pravni okvir za provedbu prethodnog vrednovanja definiran je:</w:t>
      </w:r>
    </w:p>
    <w:p w14:paraId="111A6677" w14:textId="154BB36E" w:rsidR="009126FA" w:rsidRPr="00154905" w:rsidRDefault="009126FA" w:rsidP="009D0757">
      <w:pPr>
        <w:pStyle w:val="Odlomakpopisa"/>
        <w:numPr>
          <w:ilvl w:val="1"/>
          <w:numId w:val="14"/>
        </w:numPr>
        <w:jc w:val="both"/>
        <w:rPr>
          <w:rFonts w:cstheme="minorHAnsi"/>
        </w:rPr>
      </w:pPr>
      <w:r w:rsidRPr="00154905">
        <w:rPr>
          <w:rFonts w:cstheme="minorHAnsi"/>
        </w:rPr>
        <w:t>Zakonom o sustavu strateškog planiranja i upravljanja razvojem RH (NN 123/17).</w:t>
      </w:r>
    </w:p>
    <w:p w14:paraId="3ED9915C" w14:textId="77777777" w:rsidR="00AC7D3B" w:rsidRPr="00154905" w:rsidRDefault="00AC7D3B" w:rsidP="009D0757">
      <w:pPr>
        <w:pStyle w:val="Odlomakpopisa"/>
        <w:numPr>
          <w:ilvl w:val="1"/>
          <w:numId w:val="14"/>
        </w:numPr>
        <w:jc w:val="both"/>
        <w:rPr>
          <w:rFonts w:cstheme="minorHAnsi"/>
        </w:rPr>
      </w:pPr>
      <w:r w:rsidRPr="00154905">
        <w:rPr>
          <w:rFonts w:eastAsia="Times New Roman" w:cstheme="minorHAnsi"/>
        </w:rPr>
        <w:t xml:space="preserve">Zakonom o izmjenama i dopunama Zakona o sustavu strateškog planiranja (NN 151/22) te </w:t>
      </w:r>
    </w:p>
    <w:p w14:paraId="3BAA471F" w14:textId="68DE7732" w:rsidR="00AC7D3B" w:rsidRPr="00154905" w:rsidRDefault="00AC7D3B" w:rsidP="009D0757">
      <w:pPr>
        <w:pStyle w:val="Odlomakpopisa"/>
        <w:numPr>
          <w:ilvl w:val="1"/>
          <w:numId w:val="14"/>
        </w:numPr>
        <w:jc w:val="both"/>
        <w:rPr>
          <w:rFonts w:cstheme="minorHAnsi"/>
        </w:rPr>
      </w:pPr>
      <w:r w:rsidRPr="00154905">
        <w:rPr>
          <w:rFonts w:eastAsia="Times New Roman" w:cstheme="minorHAnsi"/>
        </w:rPr>
        <w:t>Uredbom o smjernicama za izradu akata strateškog planiranja (NN 37/23).</w:t>
      </w:r>
    </w:p>
    <w:p w14:paraId="3B199F18" w14:textId="42DD3669" w:rsidR="009126FA" w:rsidRPr="00154905" w:rsidRDefault="009126FA" w:rsidP="00323FC0">
      <w:pPr>
        <w:jc w:val="both"/>
        <w:rPr>
          <w:rFonts w:cstheme="minorHAnsi"/>
          <w:lang w:eastAsia="hr-HR"/>
        </w:rPr>
      </w:pPr>
      <w:r w:rsidRPr="00154905">
        <w:rPr>
          <w:rFonts w:cstheme="minorHAnsi"/>
        </w:rPr>
        <w:t xml:space="preserve">Ključni podzakonski akt za proces vrednovanja je </w:t>
      </w:r>
      <w:r w:rsidRPr="00154905">
        <w:rPr>
          <w:rFonts w:cstheme="minorHAnsi"/>
          <w:bCs/>
          <w:iCs/>
        </w:rPr>
        <w:t xml:space="preserve">Pravilnik o provedbi postupka vrednovanja akata strateškog planiranja od nacionalnog značaja i od značaja za jedinice lokalne i područne (regionalne) samouprave </w:t>
      </w:r>
      <w:r w:rsidRPr="00154905">
        <w:rPr>
          <w:rFonts w:cstheme="minorHAnsi"/>
        </w:rPr>
        <w:t xml:space="preserve">(NN </w:t>
      </w:r>
      <w:hyperlink r:id="rId8" w:history="1">
        <w:r w:rsidRPr="00154905">
          <w:rPr>
            <w:rStyle w:val="Hiperveza"/>
            <w:rFonts w:cstheme="minorHAnsi"/>
            <w:color w:val="auto"/>
            <w:u w:val="none"/>
          </w:rPr>
          <w:t>44/23</w:t>
        </w:r>
      </w:hyperlink>
      <w:r w:rsidRPr="00154905">
        <w:rPr>
          <w:rFonts w:cstheme="minorHAnsi"/>
        </w:rPr>
        <w:t>).</w:t>
      </w:r>
    </w:p>
    <w:p w14:paraId="60F937F5" w14:textId="2BA56234" w:rsidR="009126FA" w:rsidRPr="00154905" w:rsidRDefault="009126FA" w:rsidP="00323FC0">
      <w:pPr>
        <w:jc w:val="both"/>
      </w:pPr>
      <w:r w:rsidRPr="00154905">
        <w:rPr>
          <w:rFonts w:cstheme="minorHAnsi"/>
        </w:rPr>
        <w:t xml:space="preserve">Prethodno vrednovanje </w:t>
      </w:r>
      <w:r w:rsidR="00B87D94">
        <w:rPr>
          <w:rFonts w:cstheme="minorHAnsi"/>
        </w:rPr>
        <w:t>Nacrta</w:t>
      </w:r>
      <w:r w:rsidR="00B87D94" w:rsidRPr="00154905">
        <w:rPr>
          <w:rFonts w:cstheme="minorHAnsi"/>
          <w:i/>
        </w:rPr>
        <w:t xml:space="preserve"> </w:t>
      </w:r>
      <w:r w:rsidRPr="00B87D94">
        <w:rPr>
          <w:rFonts w:cstheme="minorHAnsi"/>
        </w:rPr>
        <w:t>Strategije</w:t>
      </w:r>
      <w:r w:rsidRPr="00154905">
        <w:rPr>
          <w:rFonts w:cstheme="minorHAnsi"/>
          <w:i/>
        </w:rPr>
        <w:t xml:space="preserve"> </w:t>
      </w:r>
      <w:r w:rsidRPr="00154905">
        <w:rPr>
          <w:rFonts w:cstheme="minorHAnsi"/>
        </w:rPr>
        <w:t xml:space="preserve">realizirano je u potpunosti sukladno pristupu i metodologiji koja je zadana spomenutim Pravilnikom. </w:t>
      </w:r>
      <w:r w:rsidRPr="00154905">
        <w:t xml:space="preserve"> </w:t>
      </w:r>
    </w:p>
    <w:p w14:paraId="53E4937C" w14:textId="098DF198" w:rsidR="009126FA" w:rsidRPr="00154905" w:rsidRDefault="009126FA" w:rsidP="004B638A">
      <w:pPr>
        <w:spacing w:after="200"/>
        <w:jc w:val="both"/>
        <w:rPr>
          <w:rFonts w:cstheme="minorHAnsi"/>
        </w:rPr>
      </w:pPr>
      <w:r w:rsidRPr="00154905">
        <w:rPr>
          <w:rFonts w:cstheme="minorHAnsi"/>
        </w:rPr>
        <w:t xml:space="preserve">Svrha provedbe postupka prethodnog vrednovanja bila je dati argumentiranu podlogu za poboljšanje Nacrta Strategije te time doprinijeti u cjelini poboljšanju kvalitete </w:t>
      </w:r>
      <w:r w:rsidRPr="00154905">
        <w:t>isporuka Naručitelja, ujedno izrađivača Strategije i osiguranju okvira za njezinu učinkovitu i djelotvornu provedbu u budućnosti. Na taj način će se osigurati i održivost planiranih ishoda Strategije.</w:t>
      </w:r>
    </w:p>
    <w:p w14:paraId="02FAE1F4" w14:textId="77777777" w:rsidR="009126FA" w:rsidRPr="00154905" w:rsidRDefault="009126FA" w:rsidP="009126FA">
      <w:pPr>
        <w:pStyle w:val="box460819"/>
        <w:spacing w:before="0" w:beforeAutospacing="0" w:after="160" w:afterAutospacing="0" w:line="259" w:lineRule="auto"/>
        <w:ind w:left="720"/>
        <w:jc w:val="both"/>
        <w:rPr>
          <w:rFonts w:asciiTheme="minorHAnsi" w:hAnsiTheme="minorHAnsi" w:cstheme="minorHAnsi"/>
          <w:b/>
          <w:sz w:val="22"/>
          <w:szCs w:val="22"/>
        </w:rPr>
      </w:pPr>
    </w:p>
    <w:p w14:paraId="6EC87615" w14:textId="02B540E8" w:rsidR="00844412" w:rsidRPr="00154905" w:rsidRDefault="00844412" w:rsidP="00844412">
      <w:pPr>
        <w:pStyle w:val="box460819"/>
        <w:spacing w:before="0" w:beforeAutospacing="0" w:after="200" w:afterAutospacing="0" w:line="276" w:lineRule="auto"/>
        <w:jc w:val="both"/>
        <w:rPr>
          <w:rFonts w:asciiTheme="minorHAnsi" w:hAnsiTheme="minorHAnsi" w:cstheme="minorHAnsi"/>
          <w:sz w:val="22"/>
          <w:szCs w:val="22"/>
          <w:u w:val="single"/>
        </w:rPr>
      </w:pPr>
      <w:r w:rsidRPr="00154905">
        <w:rPr>
          <w:rFonts w:asciiTheme="minorHAnsi" w:hAnsiTheme="minorHAnsi" w:cstheme="minorHAnsi"/>
          <w:b/>
          <w:sz w:val="22"/>
          <w:szCs w:val="22"/>
        </w:rPr>
        <w:t xml:space="preserve">Struktura izvješća  </w:t>
      </w:r>
      <w:r w:rsidRPr="00154905">
        <w:rPr>
          <w:rFonts w:asciiTheme="minorHAnsi" w:hAnsiTheme="minorHAnsi" w:cstheme="minorHAnsi"/>
          <w:sz w:val="22"/>
          <w:szCs w:val="22"/>
        </w:rPr>
        <w:t xml:space="preserve">- Uz Sažetak i Uvod Izvješće o provedbi prethodnog vrednovanja </w:t>
      </w:r>
      <w:r w:rsidR="003D67FB" w:rsidRPr="00154905">
        <w:rPr>
          <w:rFonts w:asciiTheme="minorHAnsi" w:hAnsiTheme="minorHAnsi" w:cstheme="minorHAnsi"/>
          <w:sz w:val="22"/>
          <w:szCs w:val="22"/>
        </w:rPr>
        <w:t>Strategije razvoja biogospodarstva do</w:t>
      </w:r>
      <w:r w:rsidR="00084BDB">
        <w:rPr>
          <w:rFonts w:asciiTheme="minorHAnsi" w:hAnsiTheme="minorHAnsi" w:cstheme="minorHAnsi"/>
          <w:sz w:val="22"/>
          <w:szCs w:val="22"/>
        </w:rPr>
        <w:t xml:space="preserve"> </w:t>
      </w:r>
      <w:r w:rsidR="003D67FB" w:rsidRPr="00154905">
        <w:rPr>
          <w:rFonts w:asciiTheme="minorHAnsi" w:hAnsiTheme="minorHAnsi" w:cstheme="minorHAnsi"/>
          <w:sz w:val="22"/>
          <w:szCs w:val="22"/>
        </w:rPr>
        <w:t xml:space="preserve">2035.  </w:t>
      </w:r>
      <w:r w:rsidRPr="00154905">
        <w:rPr>
          <w:rFonts w:asciiTheme="minorHAnsi" w:hAnsiTheme="minorHAnsi" w:cstheme="minorHAnsi"/>
          <w:sz w:val="22"/>
          <w:szCs w:val="22"/>
        </w:rPr>
        <w:t>sadrži u nastavku sljedeća poglavlja:</w:t>
      </w:r>
    </w:p>
    <w:p w14:paraId="1B66EF87" w14:textId="2B061D2B" w:rsidR="00844412" w:rsidRPr="00154905"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t>Kontekst vrednovanja</w:t>
      </w:r>
      <w:r w:rsidRPr="00154905">
        <w:rPr>
          <w:rFonts w:asciiTheme="minorHAnsi" w:hAnsiTheme="minorHAnsi" w:cstheme="minorHAnsi"/>
          <w:sz w:val="22"/>
          <w:szCs w:val="22"/>
        </w:rPr>
        <w:t xml:space="preserve"> –  sadrži osvrt na akt strateškog planiranja koji se vrednuje te se u ovom dijelu Izvješća sažeto obrazlaže svrha i postupak vrednovanja</w:t>
      </w:r>
      <w:r w:rsidR="003D67FB" w:rsidRPr="00154905">
        <w:rPr>
          <w:rFonts w:asciiTheme="minorHAnsi" w:hAnsiTheme="minorHAnsi" w:cstheme="minorHAnsi"/>
          <w:sz w:val="22"/>
          <w:szCs w:val="22"/>
        </w:rPr>
        <w:t xml:space="preserve"> Strategije</w:t>
      </w:r>
      <w:r w:rsidRPr="00154905">
        <w:rPr>
          <w:rFonts w:asciiTheme="minorHAnsi" w:hAnsiTheme="minorHAnsi" w:cstheme="minorHAnsi"/>
          <w:sz w:val="22"/>
          <w:szCs w:val="22"/>
          <w:lang w:eastAsia="hr-HR"/>
        </w:rPr>
        <w:t>.</w:t>
      </w:r>
    </w:p>
    <w:p w14:paraId="56FFD719" w14:textId="5EE889BA" w:rsidR="00844412" w:rsidRPr="00154905"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t>Opis akta strateškog planiranja</w:t>
      </w:r>
      <w:r w:rsidRPr="00154905">
        <w:rPr>
          <w:rFonts w:asciiTheme="minorHAnsi" w:hAnsiTheme="minorHAnsi" w:cstheme="minorHAnsi"/>
          <w:sz w:val="22"/>
          <w:szCs w:val="22"/>
        </w:rPr>
        <w:t xml:space="preserve"> – sadrži kratak opis društvenih i gospodarskih potreba i ciljnih skupina u segmentu </w:t>
      </w:r>
      <w:r w:rsidR="003D67FB" w:rsidRPr="00154905">
        <w:rPr>
          <w:rFonts w:asciiTheme="minorHAnsi" w:hAnsiTheme="minorHAnsi" w:cstheme="minorHAnsi"/>
          <w:sz w:val="22"/>
          <w:szCs w:val="22"/>
        </w:rPr>
        <w:t>biogospodarstva</w:t>
      </w:r>
      <w:r w:rsidRPr="00154905">
        <w:rPr>
          <w:rFonts w:asciiTheme="minorHAnsi" w:hAnsiTheme="minorHAnsi" w:cstheme="minorHAnsi"/>
          <w:sz w:val="22"/>
          <w:szCs w:val="22"/>
        </w:rPr>
        <w:t xml:space="preserve"> na koje je usmjerena provedba </w:t>
      </w:r>
      <w:r w:rsidR="003D67FB" w:rsidRPr="00154905">
        <w:rPr>
          <w:rFonts w:asciiTheme="minorHAnsi" w:hAnsiTheme="minorHAnsi" w:cstheme="minorHAnsi"/>
          <w:sz w:val="22"/>
          <w:szCs w:val="22"/>
        </w:rPr>
        <w:t>Strategije</w:t>
      </w:r>
      <w:r w:rsidRPr="00154905">
        <w:rPr>
          <w:rFonts w:asciiTheme="minorHAnsi" w:hAnsiTheme="minorHAnsi" w:cstheme="minorHAnsi"/>
          <w:sz w:val="22"/>
          <w:szCs w:val="22"/>
        </w:rPr>
        <w:t xml:space="preserve"> te prikaz ključnih dionika uključenih u nje</w:t>
      </w:r>
      <w:r w:rsidR="003D67FB" w:rsidRPr="00154905">
        <w:rPr>
          <w:rFonts w:asciiTheme="minorHAnsi" w:hAnsiTheme="minorHAnsi" w:cstheme="minorHAnsi"/>
          <w:sz w:val="22"/>
          <w:szCs w:val="22"/>
        </w:rPr>
        <w:t>nu pr</w:t>
      </w:r>
      <w:r w:rsidRPr="00154905">
        <w:rPr>
          <w:rFonts w:asciiTheme="minorHAnsi" w:hAnsiTheme="minorHAnsi" w:cstheme="minorHAnsi"/>
          <w:sz w:val="22"/>
          <w:szCs w:val="22"/>
        </w:rPr>
        <w:t>ovedbu. Ujedno sadrži i  prikaz intervencijske logike, ciljeva i pokazatelja uspješnosti akta strateškog planiranja.</w:t>
      </w:r>
    </w:p>
    <w:p w14:paraId="2FEBB7BE" w14:textId="4C2EADBA" w:rsidR="00844412" w:rsidRPr="00154905"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t>Metodološki pristup</w:t>
      </w:r>
      <w:r w:rsidRPr="00154905">
        <w:rPr>
          <w:rFonts w:asciiTheme="minorHAnsi" w:hAnsiTheme="minorHAnsi" w:cstheme="minorHAnsi"/>
          <w:sz w:val="22"/>
          <w:szCs w:val="22"/>
        </w:rPr>
        <w:t xml:space="preserve"> –– sadrži popis ključnih pojmova, kriterija vrednovanja i pitanja za vrednovanje. Ovo poglavlje sadrži i kratak opis provedbe postupka vrednovanja, metoda i analitičkih tehnika korištenih tijekom provedbe postupka vrednovanja. Poglavlje</w:t>
      </w:r>
      <w:r w:rsidR="004F7D61">
        <w:rPr>
          <w:rFonts w:asciiTheme="minorHAnsi" w:hAnsiTheme="minorHAnsi" w:cstheme="minorHAnsi"/>
          <w:sz w:val="22"/>
          <w:szCs w:val="22"/>
        </w:rPr>
        <w:t>*</w:t>
      </w:r>
      <w:r w:rsidRPr="00154905">
        <w:rPr>
          <w:rFonts w:asciiTheme="minorHAnsi" w:hAnsiTheme="minorHAnsi" w:cstheme="minorHAnsi"/>
          <w:sz w:val="22"/>
          <w:szCs w:val="22"/>
        </w:rPr>
        <w:t xml:space="preserve"> sadrži i  informacije o izvorima podataka te su istaknuta ograničenja i nedostaci, izazovi i rizici tijekom primjene odabranog metodološkog pristupa.</w:t>
      </w:r>
    </w:p>
    <w:p w14:paraId="00F4CFD1" w14:textId="0B949B9A" w:rsidR="00844412" w:rsidRPr="00154905"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lastRenderedPageBreak/>
        <w:t xml:space="preserve">Nalazi – </w:t>
      </w:r>
      <w:r w:rsidRPr="00154905">
        <w:rPr>
          <w:rFonts w:asciiTheme="minorHAnsi" w:hAnsiTheme="minorHAnsi" w:cstheme="minorHAnsi"/>
          <w:sz w:val="22"/>
          <w:szCs w:val="22"/>
        </w:rPr>
        <w:t xml:space="preserve">sadrže dokaze relevantne za odgovore na pitanja za vrednovanje; analizu i interpretaciju odgovora </w:t>
      </w:r>
      <w:r w:rsidR="00084BDB">
        <w:rPr>
          <w:rFonts w:asciiTheme="minorHAnsi" w:hAnsiTheme="minorHAnsi" w:cstheme="minorHAnsi"/>
          <w:sz w:val="22"/>
          <w:szCs w:val="22"/>
        </w:rPr>
        <w:t xml:space="preserve">na </w:t>
      </w:r>
      <w:r w:rsidRPr="00154905">
        <w:rPr>
          <w:rFonts w:asciiTheme="minorHAnsi" w:hAnsiTheme="minorHAnsi" w:cstheme="minorHAnsi"/>
          <w:sz w:val="22"/>
          <w:szCs w:val="22"/>
        </w:rPr>
        <w:t>pitanja na vrednovanje te nalaze o primjerenosti odabira pokazatelja uspješnosti.</w:t>
      </w:r>
    </w:p>
    <w:p w14:paraId="4AD52598" w14:textId="37F1DB88" w:rsidR="00844412" w:rsidRPr="00B34564"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t>Zaključak</w:t>
      </w:r>
      <w:r w:rsidRPr="00154905">
        <w:rPr>
          <w:rFonts w:asciiTheme="minorHAnsi" w:hAnsiTheme="minorHAnsi" w:cstheme="minorHAnsi"/>
          <w:sz w:val="22"/>
          <w:szCs w:val="22"/>
        </w:rPr>
        <w:t xml:space="preserve"> – sadrži ocjenu tima za vrednovanje o uspješnosti postupka izrade</w:t>
      </w:r>
      <w:r w:rsidR="00B87D94" w:rsidRPr="00B87D94">
        <w:rPr>
          <w:rFonts w:cstheme="minorHAnsi"/>
        </w:rPr>
        <w:t xml:space="preserve"> </w:t>
      </w:r>
      <w:r w:rsidR="00B87D94" w:rsidRPr="00B87D94">
        <w:rPr>
          <w:rFonts w:asciiTheme="minorHAnsi" w:hAnsiTheme="minorHAnsi" w:cstheme="minorHAnsi"/>
          <w:sz w:val="22"/>
          <w:szCs w:val="22"/>
        </w:rPr>
        <w:t>Nacrta</w:t>
      </w:r>
      <w:r w:rsidRPr="00154905">
        <w:rPr>
          <w:rFonts w:asciiTheme="minorHAnsi" w:hAnsiTheme="minorHAnsi" w:cstheme="minorHAnsi"/>
          <w:sz w:val="22"/>
          <w:szCs w:val="22"/>
        </w:rPr>
        <w:t xml:space="preserve"> </w:t>
      </w:r>
      <w:r w:rsidR="003D67FB" w:rsidRPr="00154905">
        <w:rPr>
          <w:rFonts w:asciiTheme="minorHAnsi" w:hAnsiTheme="minorHAnsi" w:cstheme="minorHAnsi"/>
          <w:sz w:val="22"/>
          <w:szCs w:val="22"/>
        </w:rPr>
        <w:t>Strategije</w:t>
      </w:r>
      <w:r w:rsidRPr="00154905">
        <w:rPr>
          <w:rFonts w:asciiTheme="minorHAnsi" w:hAnsiTheme="minorHAnsi" w:cstheme="minorHAnsi"/>
          <w:sz w:val="22"/>
          <w:szCs w:val="22"/>
        </w:rPr>
        <w:t xml:space="preserve"> u odnosu na primijenjene kriterije vrednovanja te osvrt na pokazatelje uspješnosti definirane </w:t>
      </w:r>
      <w:r w:rsidR="003D67FB" w:rsidRPr="00154905">
        <w:rPr>
          <w:rFonts w:asciiTheme="minorHAnsi" w:hAnsiTheme="minorHAnsi" w:cstheme="minorHAnsi"/>
          <w:sz w:val="22"/>
          <w:szCs w:val="22"/>
        </w:rPr>
        <w:t>Strategijom.</w:t>
      </w:r>
      <w:r w:rsidRPr="00154905">
        <w:rPr>
          <w:rFonts w:asciiTheme="minorHAnsi" w:hAnsiTheme="minorHAnsi" w:cstheme="minorHAnsi"/>
          <w:sz w:val="22"/>
          <w:szCs w:val="22"/>
        </w:rPr>
        <w:t xml:space="preserve"> Zaključci ujedno sadrže odgovore na sva pitanja vrednovanja te daju  osvrt na područja u kojima je utvrđen prostor za poboljšanje kvalitete sadržaja </w:t>
      </w:r>
      <w:r w:rsidR="003D67FB" w:rsidRPr="00154905">
        <w:rPr>
          <w:rFonts w:asciiTheme="minorHAnsi" w:hAnsiTheme="minorHAnsi" w:cstheme="minorHAnsi"/>
          <w:sz w:val="22"/>
          <w:szCs w:val="22"/>
        </w:rPr>
        <w:t>Strategije</w:t>
      </w:r>
      <w:r w:rsidRPr="00154905">
        <w:rPr>
          <w:rFonts w:asciiTheme="minorHAnsi" w:hAnsiTheme="minorHAnsi" w:cstheme="minorHAnsi"/>
          <w:sz w:val="22"/>
          <w:szCs w:val="22"/>
        </w:rPr>
        <w:t xml:space="preserve">. Dodatno, u poglavlju je dat osvrt na moguće promjene koje predstavljaju logičnu osnovu </w:t>
      </w:r>
      <w:r w:rsidRPr="00B34564">
        <w:rPr>
          <w:rFonts w:asciiTheme="minorHAnsi" w:hAnsiTheme="minorHAnsi" w:cstheme="minorHAnsi"/>
          <w:sz w:val="22"/>
          <w:szCs w:val="22"/>
        </w:rPr>
        <w:t>za izradu preporuka vrednovanja.</w:t>
      </w:r>
    </w:p>
    <w:p w14:paraId="6E10198D" w14:textId="324FC0BD" w:rsidR="00844412" w:rsidRPr="00154905" w:rsidRDefault="00844412" w:rsidP="00844412">
      <w:pPr>
        <w:pStyle w:val="box460819"/>
        <w:spacing w:after="200" w:line="276" w:lineRule="auto"/>
        <w:jc w:val="both"/>
        <w:rPr>
          <w:rFonts w:asciiTheme="minorHAnsi" w:hAnsiTheme="minorHAnsi" w:cstheme="minorHAnsi"/>
          <w:sz w:val="22"/>
          <w:szCs w:val="22"/>
        </w:rPr>
      </w:pPr>
      <w:r w:rsidRPr="00B34564">
        <w:rPr>
          <w:rFonts w:asciiTheme="minorHAnsi" w:hAnsiTheme="minorHAnsi" w:cstheme="minorHAnsi"/>
          <w:sz w:val="22"/>
          <w:szCs w:val="22"/>
          <w:u w:val="single"/>
        </w:rPr>
        <w:t>Pouke postupka vrednovanja (engl. lessons learned</w:t>
      </w:r>
      <w:r w:rsidRPr="00B34564">
        <w:rPr>
          <w:rFonts w:asciiTheme="minorHAnsi" w:hAnsiTheme="minorHAnsi" w:cstheme="minorHAnsi"/>
          <w:sz w:val="22"/>
          <w:szCs w:val="22"/>
        </w:rPr>
        <w:t xml:space="preserve">) – sadrže opće zaključke koji bi mogli imati potencijal za širu primjenu i uporabu tijekom izrade ili provedbe </w:t>
      </w:r>
      <w:r w:rsidR="003D67FB" w:rsidRPr="00B34564">
        <w:rPr>
          <w:rFonts w:asciiTheme="minorHAnsi" w:hAnsiTheme="minorHAnsi" w:cstheme="minorHAnsi"/>
          <w:sz w:val="22"/>
          <w:szCs w:val="22"/>
        </w:rPr>
        <w:t>Strategije</w:t>
      </w:r>
      <w:r w:rsidRPr="00B34564">
        <w:rPr>
          <w:rFonts w:asciiTheme="minorHAnsi" w:hAnsiTheme="minorHAnsi" w:cstheme="minorHAnsi"/>
          <w:sz w:val="22"/>
          <w:szCs w:val="22"/>
        </w:rPr>
        <w:t>, odnosno oblikovanja i provedbe politike razvoja</w:t>
      </w:r>
      <w:r w:rsidR="00B34564" w:rsidRPr="00B34564">
        <w:rPr>
          <w:rFonts w:asciiTheme="minorHAnsi" w:hAnsiTheme="minorHAnsi" w:cstheme="minorHAnsi"/>
          <w:sz w:val="22"/>
          <w:szCs w:val="22"/>
        </w:rPr>
        <w:t xml:space="preserve"> biogospodardstva</w:t>
      </w:r>
      <w:r w:rsidRPr="00B34564">
        <w:rPr>
          <w:rFonts w:asciiTheme="minorHAnsi" w:hAnsiTheme="minorHAnsi" w:cstheme="minorHAnsi"/>
          <w:sz w:val="22"/>
          <w:szCs w:val="22"/>
        </w:rPr>
        <w:t>.</w:t>
      </w:r>
    </w:p>
    <w:p w14:paraId="7AB119A6" w14:textId="44B3190D" w:rsidR="00844412" w:rsidRPr="00154905"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t>Preporuke</w:t>
      </w:r>
      <w:r w:rsidRPr="00154905">
        <w:rPr>
          <w:rFonts w:asciiTheme="minorHAnsi" w:hAnsiTheme="minorHAnsi" w:cstheme="minorHAnsi"/>
          <w:sz w:val="22"/>
          <w:szCs w:val="22"/>
        </w:rPr>
        <w:t xml:space="preserve"> – sadrže preporuke za poboljšanje kvalitete sadržaja, upravljanja provedbom</w:t>
      </w:r>
      <w:r w:rsidR="003D67FB" w:rsidRPr="00154905">
        <w:rPr>
          <w:rFonts w:asciiTheme="minorHAnsi" w:hAnsiTheme="minorHAnsi" w:cstheme="minorHAnsi"/>
          <w:sz w:val="22"/>
          <w:szCs w:val="22"/>
        </w:rPr>
        <w:t xml:space="preserve"> Strategije</w:t>
      </w:r>
      <w:r w:rsidRPr="00154905">
        <w:rPr>
          <w:rFonts w:asciiTheme="minorHAnsi" w:hAnsiTheme="minorHAnsi" w:cstheme="minorHAnsi"/>
          <w:sz w:val="22"/>
          <w:szCs w:val="22"/>
        </w:rPr>
        <w:t xml:space="preserve"> te daljnjih procesa strateškog planiranja uz navođenje odgovornosti za provedbu ključnih dionika.</w:t>
      </w:r>
    </w:p>
    <w:p w14:paraId="7731F701" w14:textId="77777777" w:rsidR="00844412" w:rsidRPr="00154905" w:rsidRDefault="00844412" w:rsidP="00844412">
      <w:pPr>
        <w:pStyle w:val="box460819"/>
        <w:spacing w:after="200" w:line="276" w:lineRule="auto"/>
        <w:jc w:val="both"/>
        <w:rPr>
          <w:rFonts w:asciiTheme="minorHAnsi" w:hAnsiTheme="minorHAnsi" w:cstheme="minorHAnsi"/>
          <w:sz w:val="22"/>
          <w:szCs w:val="22"/>
        </w:rPr>
      </w:pPr>
      <w:r w:rsidRPr="00154905">
        <w:rPr>
          <w:rFonts w:asciiTheme="minorHAnsi" w:hAnsiTheme="minorHAnsi" w:cstheme="minorHAnsi"/>
          <w:sz w:val="22"/>
          <w:szCs w:val="22"/>
          <w:u w:val="single"/>
        </w:rPr>
        <w:t>Prilozi</w:t>
      </w:r>
      <w:r w:rsidRPr="00154905">
        <w:rPr>
          <w:rFonts w:asciiTheme="minorHAnsi" w:hAnsiTheme="minorHAnsi" w:cstheme="minorHAnsi"/>
          <w:sz w:val="22"/>
          <w:szCs w:val="22"/>
        </w:rPr>
        <w:t xml:space="preserve"> – sadrže podatke o članovima tima za vrednovanje, opis i vremenik provedbe postupka vrednovanja,  opis korištene metodologije vrednovanja i ograničenja istraživanja te popis izvora podataka korištenih tijekom provedbe postupka.</w:t>
      </w:r>
    </w:p>
    <w:p w14:paraId="52DDCB63" w14:textId="77777777" w:rsidR="00844412" w:rsidRPr="00154905" w:rsidRDefault="00844412" w:rsidP="00844412">
      <w:pPr>
        <w:pStyle w:val="box460819"/>
        <w:spacing w:before="0" w:beforeAutospacing="0" w:after="200" w:afterAutospacing="0" w:line="276" w:lineRule="auto"/>
        <w:jc w:val="both"/>
        <w:rPr>
          <w:rFonts w:asciiTheme="majorHAnsi" w:hAnsiTheme="majorHAnsi" w:cstheme="majorHAnsi"/>
          <w:b/>
          <w:color w:val="2E74B5" w:themeColor="accent1" w:themeShade="BF"/>
          <w:sz w:val="28"/>
          <w:szCs w:val="28"/>
        </w:rPr>
      </w:pPr>
    </w:p>
    <w:p w14:paraId="21D06FB5" w14:textId="584159E9" w:rsidR="00844412" w:rsidRPr="004F7D61" w:rsidRDefault="00F67CF9" w:rsidP="00F67CF9">
      <w:pPr>
        <w:pStyle w:val="Naslov1"/>
        <w:ind w:left="360"/>
        <w:rPr>
          <w:b/>
        </w:rPr>
      </w:pPr>
      <w:r>
        <w:rPr>
          <w:b/>
        </w:rPr>
        <w:t xml:space="preserve">2. </w:t>
      </w:r>
      <w:r w:rsidR="00844412" w:rsidRPr="004F7D61">
        <w:rPr>
          <w:b/>
        </w:rPr>
        <w:t>KONTEKST VREDNOVANJA</w:t>
      </w:r>
    </w:p>
    <w:p w14:paraId="13793166" w14:textId="77777777" w:rsidR="004F7D61" w:rsidRPr="004F7D61" w:rsidRDefault="004F7D61" w:rsidP="004F7D61">
      <w:pPr>
        <w:pStyle w:val="Odlomakpopisa"/>
      </w:pPr>
    </w:p>
    <w:p w14:paraId="74F961B3" w14:textId="608C4717" w:rsidR="008C33E4" w:rsidRPr="00154905" w:rsidRDefault="008C33E4" w:rsidP="00323FC0">
      <w:pPr>
        <w:spacing w:after="0" w:line="276" w:lineRule="auto"/>
        <w:jc w:val="both"/>
        <w:rPr>
          <w:rFonts w:eastAsia="Calibri" w:cstheme="minorHAnsi"/>
        </w:rPr>
      </w:pPr>
      <w:r w:rsidRPr="00154905">
        <w:rPr>
          <w:rFonts w:eastAsia="Calibri" w:cstheme="minorHAnsi"/>
        </w:rPr>
        <w:t xml:space="preserve">U skladu s navedenim u uvodnom dijelu </w:t>
      </w:r>
      <w:r w:rsidR="00B87D94">
        <w:rPr>
          <w:rFonts w:cstheme="minorHAnsi"/>
        </w:rPr>
        <w:t>Nacrta</w:t>
      </w:r>
      <w:r w:rsidR="00B87D94" w:rsidRPr="00154905">
        <w:rPr>
          <w:rFonts w:eastAsia="Calibri" w:cstheme="minorHAnsi"/>
        </w:rPr>
        <w:t xml:space="preserve"> </w:t>
      </w:r>
      <w:r w:rsidRPr="00154905">
        <w:rPr>
          <w:rFonts w:eastAsia="Calibri" w:cstheme="minorHAnsi"/>
        </w:rPr>
        <w:t xml:space="preserve">Strategije biogospodarstva do 2035.  u ovom će se krovnom aktu strateškog planiranja osigurati usklađeno djelovanje u provedbi već planiranih aktivnosti i daljnjem razvoju biogospodarstva u Hrvatskoj. Ujedno, Strategija odgovara na zahtjev da se donošenjem odgovarajućih sektorskih akata strateškog planiranja doprinese ostvarenju jednog od strateških ciljeva Nacionalne razvojne Strategije 2030 (u daljnjem tekstu: NRS), tj. onome o postizanju samodostatnosti </w:t>
      </w:r>
      <w:r w:rsidR="0019244C">
        <w:rPr>
          <w:rFonts w:eastAsia="Calibri" w:cstheme="minorHAnsi"/>
        </w:rPr>
        <w:t>u</w:t>
      </w:r>
      <w:r w:rsidR="0019244C" w:rsidRPr="00154905">
        <w:rPr>
          <w:rFonts w:eastAsia="Calibri" w:cstheme="minorHAnsi"/>
        </w:rPr>
        <w:t xml:space="preserve"> </w:t>
      </w:r>
      <w:r w:rsidRPr="00154905">
        <w:rPr>
          <w:rFonts w:eastAsia="Calibri" w:cstheme="minorHAnsi"/>
        </w:rPr>
        <w:t>hrani</w:t>
      </w:r>
      <w:r w:rsidRPr="00154905">
        <w:rPr>
          <w:rFonts w:eastAsia="Calibri" w:cstheme="minorHAnsi"/>
          <w:vertAlign w:val="superscript"/>
        </w:rPr>
        <w:footnoteReference w:id="1"/>
      </w:r>
      <w:r w:rsidRPr="00154905">
        <w:rPr>
          <w:rFonts w:eastAsia="Calibri" w:cstheme="minorHAnsi"/>
        </w:rPr>
        <w:t xml:space="preserve"> i razvoju biogospodarstva (strateški cilj 9. NRS-a).</w:t>
      </w:r>
    </w:p>
    <w:p w14:paraId="1E2612A1" w14:textId="77777777" w:rsidR="008C33E4" w:rsidRPr="00154905" w:rsidRDefault="008C33E4" w:rsidP="008C33E4">
      <w:pPr>
        <w:spacing w:after="0" w:line="276" w:lineRule="auto"/>
        <w:ind w:left="720"/>
        <w:jc w:val="both"/>
        <w:rPr>
          <w:rFonts w:eastAsia="Calibri" w:cstheme="minorHAnsi"/>
        </w:rPr>
      </w:pPr>
    </w:p>
    <w:p w14:paraId="2DAEAC8E" w14:textId="35D34870" w:rsidR="00B34564" w:rsidRDefault="008C33E4" w:rsidP="00B34564">
      <w:pPr>
        <w:spacing w:after="0" w:line="276" w:lineRule="auto"/>
        <w:jc w:val="both"/>
        <w:rPr>
          <w:rFonts w:cstheme="minorHAnsi"/>
        </w:rPr>
      </w:pPr>
      <w:r w:rsidRPr="00154905">
        <w:rPr>
          <w:rFonts w:eastAsia="Calibri" w:cstheme="minorHAnsi"/>
        </w:rPr>
        <w:t>Izrada Strategije pokrenuta je Odlukom Vlade Republike Hrvatske na sjednici održanoj 13. listopada 2022. godine</w:t>
      </w:r>
      <w:r w:rsidR="00B6607E">
        <w:rPr>
          <w:rFonts w:eastAsia="Calibri" w:cstheme="minorHAnsi"/>
        </w:rPr>
        <w:t>,</w:t>
      </w:r>
      <w:r w:rsidRPr="00154905">
        <w:rPr>
          <w:rFonts w:eastAsia="Calibri" w:cstheme="minorHAnsi"/>
        </w:rPr>
        <w:t xml:space="preserve"> a za njenu izradu  su bili zaduženi Ministarstvo poljoprivrede, Ministarstvo gospodarstva i održivog razvoja, Ministarstvo znanosti i obrazovanja te Ministarstvo regionalnoga razvoja i fondova EU. Koordinacija izrade Strategije povjerena je Ministarstvu poljoprivrede. Odluka Vlade Republike Hrvatske također je predvidjela mogućnost uključivanja i drugih stručnjaka u izradu </w:t>
      </w:r>
      <w:r w:rsidR="00B87D94">
        <w:rPr>
          <w:rFonts w:eastAsia="Calibri" w:cstheme="minorHAnsi"/>
        </w:rPr>
        <w:t>N</w:t>
      </w:r>
      <w:r w:rsidRPr="00154905">
        <w:rPr>
          <w:rFonts w:eastAsia="Calibri" w:cstheme="minorHAnsi"/>
        </w:rPr>
        <w:t xml:space="preserve">acrta Strategije. Osnovana je stručna radna skupina za izradu prijedloga Strategije, u koju su, osim tijela državne uprave određenih Odlukom Vlade Republike Hrvatske, bili uključeni i predstavnici regionalne i lokalne samouprave, interesnih udruženja hrvatskih proizvođača, znanstvenih i istraživačkih institucija, visokoškolskih ustanova te udruga i nevladinih organizacija. </w:t>
      </w:r>
    </w:p>
    <w:p w14:paraId="2A657FFE" w14:textId="77777777" w:rsidR="00B34564" w:rsidRDefault="00B34564" w:rsidP="00B34564">
      <w:pPr>
        <w:spacing w:after="0" w:line="276" w:lineRule="auto"/>
        <w:jc w:val="both"/>
        <w:rPr>
          <w:rFonts w:cstheme="minorHAnsi"/>
        </w:rPr>
      </w:pPr>
    </w:p>
    <w:p w14:paraId="260B1522" w14:textId="32FFA84C" w:rsidR="008C33E4" w:rsidRPr="00B34564" w:rsidRDefault="008C33E4" w:rsidP="00B34564">
      <w:pPr>
        <w:spacing w:after="0" w:line="276" w:lineRule="auto"/>
        <w:jc w:val="both"/>
        <w:rPr>
          <w:rFonts w:cstheme="minorHAnsi"/>
        </w:rPr>
      </w:pPr>
      <w:r w:rsidRPr="00154905">
        <w:rPr>
          <w:rFonts w:cstheme="minorHAnsi"/>
        </w:rPr>
        <w:t>Korisnici i c</w:t>
      </w:r>
      <w:r w:rsidRPr="00154905">
        <w:t xml:space="preserve">iljane skupine na koje se odnosi Strategija su u prvom redu ključni dionici u </w:t>
      </w:r>
      <w:r w:rsidRPr="00202FEB">
        <w:t>poljoprivredi</w:t>
      </w:r>
      <w:r w:rsidRPr="00154905">
        <w:t>, šumarstvu, javni i privatni sektor, udruge, udruženja, komore</w:t>
      </w:r>
      <w:r w:rsidRPr="00202FEB">
        <w:t xml:space="preserve">, </w:t>
      </w:r>
      <w:r w:rsidRPr="00154905">
        <w:t>lokalno stanovništvo u ruralnim područjima, građani i dr.</w:t>
      </w:r>
    </w:p>
    <w:p w14:paraId="123687E1" w14:textId="77777777" w:rsidR="008C33E4" w:rsidRPr="00154905" w:rsidRDefault="008C33E4" w:rsidP="008C33E4">
      <w:pPr>
        <w:ind w:left="720"/>
        <w:jc w:val="both"/>
        <w:rPr>
          <w:rFonts w:cstheme="minorHAnsi"/>
          <w:b/>
        </w:rPr>
      </w:pPr>
    </w:p>
    <w:p w14:paraId="51078400" w14:textId="77777777" w:rsidR="008C33E4" w:rsidRPr="00154905" w:rsidRDefault="008C33E4" w:rsidP="008C33E4">
      <w:pPr>
        <w:ind w:firstLine="720"/>
        <w:rPr>
          <w:rFonts w:cstheme="minorHAnsi"/>
          <w:b/>
          <w:u w:val="single"/>
        </w:rPr>
      </w:pPr>
      <w:r w:rsidRPr="00154905">
        <w:rPr>
          <w:rFonts w:cstheme="minorHAnsi"/>
          <w:b/>
          <w:u w:val="single"/>
        </w:rPr>
        <w:t>Postupak vrednovanja</w:t>
      </w:r>
    </w:p>
    <w:p w14:paraId="285FD5DC" w14:textId="2E191A50" w:rsidR="008C33E4" w:rsidRPr="00154905" w:rsidRDefault="008C33E4" w:rsidP="008C33E4">
      <w:pPr>
        <w:pStyle w:val="box460819"/>
        <w:spacing w:before="0" w:beforeAutospacing="0" w:after="160" w:afterAutospacing="0" w:line="259" w:lineRule="auto"/>
        <w:ind w:left="720"/>
        <w:jc w:val="both"/>
        <w:rPr>
          <w:rFonts w:asciiTheme="minorHAnsi" w:hAnsiTheme="minorHAnsi" w:cstheme="minorHAnsi"/>
          <w:sz w:val="22"/>
          <w:szCs w:val="22"/>
        </w:rPr>
      </w:pPr>
      <w:r w:rsidRPr="00154905">
        <w:rPr>
          <w:rFonts w:asciiTheme="minorHAnsi" w:hAnsiTheme="minorHAnsi" w:cstheme="minorHAnsi"/>
          <w:sz w:val="22"/>
          <w:szCs w:val="22"/>
        </w:rPr>
        <w:t xml:space="preserve">Postupak vrednovanja tijekom izrade </w:t>
      </w:r>
      <w:r w:rsidR="0019244C">
        <w:rPr>
          <w:rFonts w:asciiTheme="minorHAnsi" w:hAnsiTheme="minorHAnsi" w:cstheme="minorHAnsi"/>
          <w:sz w:val="22"/>
          <w:szCs w:val="22"/>
        </w:rPr>
        <w:t>završne</w:t>
      </w:r>
      <w:r w:rsidR="0019244C" w:rsidRPr="00154905">
        <w:rPr>
          <w:rFonts w:asciiTheme="minorHAnsi" w:hAnsiTheme="minorHAnsi" w:cstheme="minorHAnsi"/>
          <w:sz w:val="22"/>
          <w:szCs w:val="22"/>
        </w:rPr>
        <w:t xml:space="preserve"> </w:t>
      </w:r>
      <w:r w:rsidRPr="00154905">
        <w:rPr>
          <w:rFonts w:asciiTheme="minorHAnsi" w:hAnsiTheme="minorHAnsi" w:cstheme="minorHAnsi"/>
          <w:sz w:val="22"/>
          <w:szCs w:val="22"/>
        </w:rPr>
        <w:t xml:space="preserve">verzije Strategije temeljio se na sljedećim načelima vrednovanja propisanim prethodno spomenutim </w:t>
      </w:r>
      <w:r w:rsidRPr="00154905">
        <w:rPr>
          <w:rFonts w:asciiTheme="minorHAnsi" w:hAnsiTheme="minorHAnsi" w:cstheme="minorHAnsi"/>
          <w:bCs/>
          <w:iCs/>
          <w:sz w:val="22"/>
          <w:szCs w:val="22"/>
        </w:rPr>
        <w:t>Pravilnikom o provedbi postupka vrednovanja akata strateškog planiranja od nacionalnog značaja i od značaja za jedinice lokalne i područne (regionalne) samouprave</w:t>
      </w:r>
      <w:r w:rsidRPr="00154905">
        <w:rPr>
          <w:rFonts w:asciiTheme="minorHAnsi" w:hAnsiTheme="minorHAnsi" w:cstheme="minorHAnsi"/>
          <w:sz w:val="22"/>
          <w:szCs w:val="22"/>
        </w:rPr>
        <w:t xml:space="preserve"> iz 2023. godine (u daljnjem tekstu: Pravilnik). </w:t>
      </w:r>
    </w:p>
    <w:p w14:paraId="7F9C14F0" w14:textId="141337AC" w:rsidR="008C33E4" w:rsidRPr="00202FEB" w:rsidRDefault="008C33E4" w:rsidP="008C33E4">
      <w:pPr>
        <w:pStyle w:val="Standard"/>
        <w:spacing w:after="160" w:line="259" w:lineRule="auto"/>
        <w:ind w:left="720"/>
        <w:jc w:val="both"/>
        <w:rPr>
          <w:rFonts w:asciiTheme="minorHAnsi" w:hAnsiTheme="minorHAnsi" w:cstheme="minorHAnsi"/>
          <w:sz w:val="22"/>
          <w:szCs w:val="22"/>
          <w:lang w:val="hr-HR"/>
        </w:rPr>
      </w:pPr>
      <w:r w:rsidRPr="00154905">
        <w:rPr>
          <w:rStyle w:val="Zadanifontodlomka1"/>
          <w:rFonts w:asciiTheme="minorHAnsi" w:hAnsiTheme="minorHAnsi" w:cstheme="minorHAnsi"/>
          <w:b/>
          <w:bCs/>
          <w:sz w:val="22"/>
          <w:szCs w:val="22"/>
          <w:lang w:val="hr-HR"/>
        </w:rPr>
        <w:t xml:space="preserve">1. Načelo pravovremenosti </w:t>
      </w:r>
      <w:r w:rsidRPr="00154905">
        <w:rPr>
          <w:rStyle w:val="Zadanifontodlomka1"/>
          <w:rFonts w:asciiTheme="minorHAnsi" w:hAnsiTheme="minorHAnsi" w:cstheme="minorHAnsi"/>
          <w:sz w:val="22"/>
          <w:szCs w:val="22"/>
          <w:lang w:val="hr-HR"/>
        </w:rPr>
        <w:t>- postupak vrednovanja akata strateškog planiranja potrebno je planirati i provoditi u skladu s procesima upravljanja i donošenja odluka kako bi se omogućilo pravovremeno postupanje i primjena preporuka tijekom izrade i provedbe akata te daljnjih procesa strateškog planiranja.</w:t>
      </w:r>
    </w:p>
    <w:p w14:paraId="21DC27FC" w14:textId="77777777" w:rsidR="008C33E4" w:rsidRPr="00202FEB" w:rsidRDefault="008C33E4" w:rsidP="008C33E4">
      <w:pPr>
        <w:pStyle w:val="Standard"/>
        <w:spacing w:after="160" w:line="259" w:lineRule="auto"/>
        <w:ind w:left="720"/>
        <w:jc w:val="both"/>
        <w:rPr>
          <w:rFonts w:asciiTheme="minorHAnsi" w:hAnsiTheme="minorHAnsi" w:cstheme="minorHAnsi"/>
          <w:sz w:val="22"/>
          <w:szCs w:val="22"/>
          <w:lang w:val="hr-HR"/>
        </w:rPr>
      </w:pPr>
      <w:r w:rsidRPr="00154905">
        <w:rPr>
          <w:rStyle w:val="Zadanifontodlomka1"/>
          <w:rFonts w:asciiTheme="minorHAnsi" w:hAnsiTheme="minorHAnsi" w:cstheme="minorHAnsi"/>
          <w:b/>
          <w:bCs/>
          <w:sz w:val="22"/>
          <w:szCs w:val="22"/>
          <w:lang w:val="hr-HR"/>
        </w:rPr>
        <w:t xml:space="preserve">2. Načelo razmjernosti </w:t>
      </w:r>
      <w:r w:rsidRPr="00154905">
        <w:rPr>
          <w:rStyle w:val="Zadanifontodlomka1"/>
          <w:rFonts w:asciiTheme="minorHAnsi" w:hAnsiTheme="minorHAnsi" w:cstheme="minorHAnsi"/>
          <w:sz w:val="22"/>
          <w:szCs w:val="22"/>
          <w:lang w:val="hr-HR"/>
        </w:rPr>
        <w:t>- postupak vrednovanja potrebno je planirati i provoditi u razmjeru s resursima planiranim za izradu i provedbu akata strateškog planiranja i opsegom provedbe javnih politika.</w:t>
      </w:r>
    </w:p>
    <w:p w14:paraId="15F6BE80" w14:textId="633A4F2C" w:rsidR="008C33E4" w:rsidRPr="00202FEB" w:rsidRDefault="008C33E4" w:rsidP="008C33E4">
      <w:pPr>
        <w:pStyle w:val="Standard"/>
        <w:spacing w:after="160" w:line="259" w:lineRule="auto"/>
        <w:ind w:left="720"/>
        <w:jc w:val="both"/>
        <w:rPr>
          <w:rFonts w:asciiTheme="minorHAnsi" w:hAnsiTheme="minorHAnsi" w:cstheme="minorHAnsi"/>
          <w:sz w:val="22"/>
          <w:szCs w:val="22"/>
          <w:lang w:val="hr-HR"/>
        </w:rPr>
      </w:pPr>
      <w:r w:rsidRPr="00154905">
        <w:rPr>
          <w:rStyle w:val="Zadanifontodlomka1"/>
          <w:rFonts w:asciiTheme="minorHAnsi" w:hAnsiTheme="minorHAnsi" w:cstheme="minorHAnsi"/>
          <w:b/>
          <w:bCs/>
          <w:sz w:val="22"/>
          <w:szCs w:val="22"/>
          <w:lang w:val="hr-HR"/>
        </w:rPr>
        <w:t xml:space="preserve">3. Načelo neovisnosti </w:t>
      </w:r>
      <w:r w:rsidRPr="00154905">
        <w:rPr>
          <w:rStyle w:val="Zadanifontodlomka1"/>
          <w:rFonts w:asciiTheme="minorHAnsi" w:hAnsiTheme="minorHAnsi" w:cstheme="minorHAnsi"/>
          <w:sz w:val="22"/>
          <w:szCs w:val="22"/>
          <w:lang w:val="hr-HR"/>
        </w:rPr>
        <w:t>- postupak vrednovanja provode stručnjaci koji su funkcionalno neovisni o tijelima nadležnim za izradu i provedbu akata strateškog planiranja</w:t>
      </w:r>
      <w:r w:rsidR="00B6607E">
        <w:rPr>
          <w:rStyle w:val="Zadanifontodlomka1"/>
          <w:rFonts w:asciiTheme="minorHAnsi" w:hAnsiTheme="minorHAnsi" w:cstheme="minorHAnsi"/>
          <w:sz w:val="22"/>
          <w:szCs w:val="22"/>
          <w:lang w:val="hr-HR"/>
        </w:rPr>
        <w:t>,</w:t>
      </w:r>
      <w:r w:rsidRPr="00154905">
        <w:rPr>
          <w:rStyle w:val="Zadanifontodlomka1"/>
          <w:rFonts w:asciiTheme="minorHAnsi" w:hAnsiTheme="minorHAnsi" w:cstheme="minorHAnsi"/>
          <w:sz w:val="22"/>
          <w:szCs w:val="22"/>
          <w:lang w:val="hr-HR"/>
        </w:rPr>
        <w:t xml:space="preserve"> a uloga im je davanje nepristrane prosudbe i ocjene kvalitete procesa izrade, sadržaja te očekivanih i ostvarenih ishoda i učinaka provedbe akata strateškog planiranja.</w:t>
      </w:r>
    </w:p>
    <w:p w14:paraId="35F6E0B5" w14:textId="77777777" w:rsidR="008C33E4" w:rsidRPr="00202FEB" w:rsidRDefault="008C33E4" w:rsidP="008C33E4">
      <w:pPr>
        <w:pStyle w:val="Standard"/>
        <w:spacing w:after="160" w:line="259" w:lineRule="auto"/>
        <w:ind w:left="720"/>
        <w:jc w:val="both"/>
        <w:rPr>
          <w:rFonts w:asciiTheme="minorHAnsi" w:hAnsiTheme="minorHAnsi" w:cstheme="minorHAnsi"/>
          <w:sz w:val="22"/>
          <w:szCs w:val="22"/>
          <w:lang w:val="hr-HR"/>
        </w:rPr>
      </w:pPr>
      <w:r w:rsidRPr="00154905">
        <w:rPr>
          <w:rStyle w:val="Zadanifontodlomka1"/>
          <w:rFonts w:asciiTheme="minorHAnsi" w:hAnsiTheme="minorHAnsi" w:cstheme="minorHAnsi"/>
          <w:b/>
          <w:bCs/>
          <w:sz w:val="22"/>
          <w:szCs w:val="22"/>
          <w:lang w:val="hr-HR"/>
        </w:rPr>
        <w:t xml:space="preserve">4. Načelo vjerodostojnosti - </w:t>
      </w:r>
      <w:r w:rsidRPr="00154905">
        <w:rPr>
          <w:rStyle w:val="Zadanifontodlomka1"/>
          <w:rFonts w:asciiTheme="minorHAnsi" w:hAnsiTheme="minorHAnsi" w:cstheme="minorHAnsi"/>
          <w:sz w:val="22"/>
          <w:szCs w:val="22"/>
          <w:lang w:val="hr-HR"/>
        </w:rPr>
        <w:t>postupak vrednovanja provodi se korištenjem pouzdanih i provjerljivih podataka, a nalazi i zaključci vrednovanja moraju biti potkrijepljeni provjerljivim dokazima.</w:t>
      </w:r>
    </w:p>
    <w:p w14:paraId="5B176009" w14:textId="77777777" w:rsidR="008C33E4" w:rsidRPr="00202FEB" w:rsidRDefault="008C33E4" w:rsidP="008C33E4">
      <w:pPr>
        <w:pStyle w:val="Standard"/>
        <w:spacing w:after="160" w:line="259" w:lineRule="auto"/>
        <w:ind w:left="720"/>
        <w:jc w:val="both"/>
        <w:rPr>
          <w:rFonts w:asciiTheme="minorHAnsi" w:hAnsiTheme="minorHAnsi" w:cstheme="minorHAnsi"/>
          <w:sz w:val="22"/>
          <w:szCs w:val="22"/>
          <w:lang w:val="hr-HR"/>
        </w:rPr>
      </w:pPr>
      <w:r w:rsidRPr="00154905">
        <w:rPr>
          <w:rStyle w:val="Zadanifontodlomka1"/>
          <w:rFonts w:asciiTheme="minorHAnsi" w:hAnsiTheme="minorHAnsi" w:cstheme="minorHAnsi"/>
          <w:b/>
          <w:bCs/>
          <w:sz w:val="22"/>
          <w:szCs w:val="22"/>
          <w:lang w:val="hr-HR"/>
        </w:rPr>
        <w:t xml:space="preserve">5. Načelo korisnosti - </w:t>
      </w:r>
      <w:r w:rsidRPr="00154905">
        <w:rPr>
          <w:rStyle w:val="Zadanifontodlomka1"/>
          <w:rFonts w:asciiTheme="minorHAnsi" w:hAnsiTheme="minorHAnsi" w:cstheme="minorHAnsi"/>
          <w:bCs/>
          <w:sz w:val="22"/>
          <w:szCs w:val="22"/>
          <w:lang w:val="hr-HR"/>
        </w:rPr>
        <w:t>Postupak vrednovanja provodi se na način koji omogućava stjecanje novih znanja i utemeljeno i informirano donošenje odluka o poboljšanju kvalitete sadržaja akta strateškog planiranja, upravljanja njegovom provedbom te usmjeravanja procesa strateškog planiranja za naredno razdoblje.</w:t>
      </w:r>
    </w:p>
    <w:p w14:paraId="745EAFD0" w14:textId="029ADBEA" w:rsidR="008C33E4" w:rsidRPr="00154905" w:rsidRDefault="008C33E4" w:rsidP="008C33E4">
      <w:pPr>
        <w:pStyle w:val="box460819"/>
        <w:spacing w:before="0" w:beforeAutospacing="0" w:after="160" w:afterAutospacing="0" w:line="259" w:lineRule="auto"/>
        <w:ind w:left="357"/>
        <w:jc w:val="both"/>
        <w:rPr>
          <w:rFonts w:asciiTheme="minorHAnsi" w:hAnsiTheme="minorHAnsi" w:cstheme="minorHAnsi"/>
          <w:sz w:val="22"/>
          <w:szCs w:val="22"/>
        </w:rPr>
      </w:pPr>
      <w:r w:rsidRPr="00154905">
        <w:rPr>
          <w:rFonts w:asciiTheme="minorHAnsi" w:hAnsiTheme="minorHAnsi" w:cstheme="minorHAnsi"/>
          <w:sz w:val="22"/>
          <w:szCs w:val="22"/>
        </w:rPr>
        <w:t xml:space="preserve">Tim za vrednovanje posebnu je </w:t>
      </w:r>
      <w:r w:rsidR="0019244C">
        <w:rPr>
          <w:rFonts w:asciiTheme="minorHAnsi" w:hAnsiTheme="minorHAnsi" w:cstheme="minorHAnsi"/>
          <w:sz w:val="22"/>
          <w:szCs w:val="22"/>
        </w:rPr>
        <w:t xml:space="preserve">pozornost </w:t>
      </w:r>
      <w:r w:rsidRPr="00154905">
        <w:rPr>
          <w:rFonts w:asciiTheme="minorHAnsi" w:hAnsiTheme="minorHAnsi" w:cstheme="minorHAnsi"/>
          <w:sz w:val="22"/>
          <w:szCs w:val="22"/>
        </w:rPr>
        <w:t>posvetio načelu pravovremenosti uslijed specifičnih okolnosti pod kojima je zadatak vrednovanja preuzet. Naime, uobičajeno je da se prethodno vrednovanje provodi tijekom cjelokupnog procesa izrade Strategije kako bi se pomoglo izrađivaču Strategije u svim fazama njene izrade te osiguralo da se nalazi vrednovanja mogu pravovremeno uzeti u obzir prilikom razrade pojedinih faza izrade Strategije.</w:t>
      </w:r>
    </w:p>
    <w:p w14:paraId="6F8BAD01" w14:textId="044F1B3E" w:rsidR="008C33E4" w:rsidRPr="00154905" w:rsidRDefault="008C33E4" w:rsidP="008C33E4">
      <w:pPr>
        <w:pStyle w:val="box460819"/>
        <w:spacing w:before="0" w:beforeAutospacing="0" w:after="160" w:afterAutospacing="0" w:line="259" w:lineRule="auto"/>
        <w:ind w:left="360"/>
        <w:jc w:val="both"/>
        <w:rPr>
          <w:rFonts w:asciiTheme="minorHAnsi" w:hAnsiTheme="minorHAnsi" w:cstheme="minorHAnsi"/>
          <w:sz w:val="22"/>
          <w:szCs w:val="22"/>
        </w:rPr>
      </w:pPr>
      <w:r w:rsidRPr="00154905">
        <w:rPr>
          <w:rFonts w:asciiTheme="minorHAnsi" w:hAnsiTheme="minorHAnsi" w:cstheme="minorHAnsi"/>
          <w:sz w:val="22"/>
          <w:szCs w:val="22"/>
        </w:rPr>
        <w:t xml:space="preserve">Međutim, u realizaciji prethodnog vrednovanja Strategije tim za vrednovanje </w:t>
      </w:r>
      <w:r w:rsidR="00A80AE7">
        <w:rPr>
          <w:rFonts w:asciiTheme="minorHAnsi" w:hAnsiTheme="minorHAnsi" w:cstheme="minorHAnsi"/>
          <w:sz w:val="22"/>
          <w:szCs w:val="22"/>
        </w:rPr>
        <w:t xml:space="preserve">bio </w:t>
      </w:r>
      <w:r w:rsidRPr="00154905">
        <w:rPr>
          <w:rFonts w:asciiTheme="minorHAnsi" w:hAnsiTheme="minorHAnsi" w:cstheme="minorHAnsi"/>
          <w:sz w:val="22"/>
          <w:szCs w:val="22"/>
        </w:rPr>
        <w:t xml:space="preserve">je uključen tek u zadnjoj fazi izrade Nacrta Strategije, tj. u trenutku kada je cjelovit Nacrt već bio izrađen, a ta okolnost uvjetovala je potrebu za drugačijim, tj. izrazito fleksibilnim pristupom u provedbi postupka vrednovanja. Uslijed spomenute okolnosti nije bilo moguće primijeniti uobičajeni „fazni“ pristup, već se u početnoj fazi realizacije zadatka krenulo vrednovati izrađen cjelovit Nacrt kako bi se izrađivaču Strategije pomoglo u pravovremenoj izradi što kvalitetnije i u većoj mjeri provedive finalne verzije </w:t>
      </w:r>
      <w:r w:rsidR="00B87D94" w:rsidRPr="00B87D94">
        <w:rPr>
          <w:rFonts w:asciiTheme="minorHAnsi" w:hAnsiTheme="minorHAnsi" w:cstheme="minorHAnsi"/>
          <w:sz w:val="22"/>
          <w:szCs w:val="22"/>
        </w:rPr>
        <w:t>Nacrta</w:t>
      </w:r>
      <w:r w:rsidR="00B87D94" w:rsidRPr="00154905">
        <w:rPr>
          <w:rFonts w:asciiTheme="minorHAnsi" w:hAnsiTheme="minorHAnsi" w:cstheme="minorHAnsi"/>
          <w:sz w:val="22"/>
          <w:szCs w:val="22"/>
        </w:rPr>
        <w:t xml:space="preserve"> </w:t>
      </w:r>
      <w:r w:rsidRPr="00154905">
        <w:rPr>
          <w:rFonts w:asciiTheme="minorHAnsi" w:hAnsiTheme="minorHAnsi" w:cstheme="minorHAnsi"/>
          <w:sz w:val="22"/>
          <w:szCs w:val="22"/>
        </w:rPr>
        <w:t xml:space="preserve">Strategije. </w:t>
      </w:r>
    </w:p>
    <w:p w14:paraId="5C78F5AC" w14:textId="77777777" w:rsidR="008C33E4" w:rsidRPr="00154905" w:rsidRDefault="008C33E4" w:rsidP="008C33E4">
      <w:pPr>
        <w:ind w:left="360"/>
        <w:jc w:val="both"/>
        <w:rPr>
          <w:rFonts w:cstheme="minorHAnsi"/>
          <w:b/>
          <w:u w:val="single"/>
        </w:rPr>
      </w:pPr>
    </w:p>
    <w:p w14:paraId="2775C07F" w14:textId="77777777" w:rsidR="008C33E4" w:rsidRPr="00154905" w:rsidRDefault="008C33E4" w:rsidP="008C33E4">
      <w:pPr>
        <w:ind w:left="360"/>
        <w:jc w:val="both"/>
        <w:rPr>
          <w:rFonts w:cstheme="minorHAnsi"/>
        </w:rPr>
      </w:pPr>
      <w:r w:rsidRPr="00154905">
        <w:rPr>
          <w:rFonts w:cstheme="minorHAnsi"/>
          <w:b/>
          <w:u w:val="single"/>
        </w:rPr>
        <w:t>Osnovna svrha i djelokrug prethodnog vrednovanja</w:t>
      </w:r>
      <w:r w:rsidRPr="00154905">
        <w:rPr>
          <w:rFonts w:cstheme="minorHAnsi"/>
        </w:rPr>
        <w:t xml:space="preserve"> </w:t>
      </w:r>
    </w:p>
    <w:p w14:paraId="6B668906" w14:textId="3F57117A" w:rsidR="008C33E4" w:rsidRPr="00154905" w:rsidRDefault="008C33E4" w:rsidP="008C33E4">
      <w:pPr>
        <w:ind w:left="360"/>
        <w:jc w:val="both"/>
        <w:rPr>
          <w:rFonts w:cstheme="minorHAnsi"/>
        </w:rPr>
      </w:pPr>
      <w:r w:rsidRPr="00154905">
        <w:rPr>
          <w:rFonts w:cstheme="minorHAnsi"/>
        </w:rPr>
        <w:t>Osnovna svrha vrednovanja bila je poboljšanje kvalitete Strategije, iznalaženje optimalnog načina korištenja resursa za dostizanje utvrđenih strateških ciljeva te time omogućavanje kvalitetne osnove za buduće što jednostavnije, svrsishodnije i učinkovitije praćenje i vrednovanje njene provedbe. Realizacija postupka vrednovanja Strategije podrazumijevala je primjenu nekoliko kriterija vrednovanja, a u okviru kojih su formulirana evaluacijska pitanja koja su obrazložena u daljnjem tekstu.</w:t>
      </w:r>
    </w:p>
    <w:p w14:paraId="57A3908E" w14:textId="77777777" w:rsidR="008C33E4" w:rsidRPr="00154905" w:rsidRDefault="008C33E4" w:rsidP="008C33E4">
      <w:pPr>
        <w:spacing w:line="60" w:lineRule="atLeast"/>
        <w:rPr>
          <w:rFonts w:ascii="Calibri" w:hAnsi="Calibri" w:cs="Calibri"/>
        </w:rPr>
      </w:pPr>
      <w:r w:rsidRPr="00154905">
        <w:rPr>
          <w:rFonts w:ascii="Calibri" w:hAnsi="Calibri" w:cs="Calibri"/>
        </w:rPr>
        <w:t xml:space="preserve">   </w:t>
      </w:r>
    </w:p>
    <w:p w14:paraId="000098FC" w14:textId="606C54FE" w:rsidR="00844412" w:rsidRPr="00C877C6" w:rsidRDefault="00F67CF9" w:rsidP="00D07963">
      <w:pPr>
        <w:pStyle w:val="Naslov1"/>
        <w:rPr>
          <w:b/>
          <w:lang w:eastAsia="hr-HR"/>
        </w:rPr>
      </w:pPr>
      <w:r>
        <w:rPr>
          <w:b/>
        </w:rPr>
        <w:t>3</w:t>
      </w:r>
      <w:r w:rsidR="00844412" w:rsidRPr="00C877C6">
        <w:rPr>
          <w:b/>
        </w:rPr>
        <w:t xml:space="preserve">. </w:t>
      </w:r>
      <w:bookmarkStart w:id="0" w:name="_Hlk139281146"/>
      <w:r w:rsidR="00844412" w:rsidRPr="00C877C6">
        <w:rPr>
          <w:b/>
        </w:rPr>
        <w:t xml:space="preserve">OPIS AKTA STRATEŠKOG PLANIRANJA </w:t>
      </w:r>
      <w:bookmarkEnd w:id="0"/>
    </w:p>
    <w:p w14:paraId="27B9A740" w14:textId="77777777" w:rsidR="00C877C6" w:rsidRDefault="00C877C6" w:rsidP="00AC7D3B">
      <w:pPr>
        <w:jc w:val="both"/>
        <w:rPr>
          <w:rFonts w:eastAsia="Times New Roman" w:cstheme="minorHAnsi"/>
        </w:rPr>
      </w:pPr>
    </w:p>
    <w:p w14:paraId="4E53D9B2" w14:textId="44E1FA61" w:rsidR="00323FC0" w:rsidRPr="00AC7D3B" w:rsidRDefault="00323FC0" w:rsidP="00AC7D3B">
      <w:pPr>
        <w:jc w:val="both"/>
        <w:rPr>
          <w:rFonts w:eastAsia="Times New Roman" w:cstheme="minorHAnsi"/>
        </w:rPr>
      </w:pPr>
      <w:r w:rsidRPr="00AC7D3B">
        <w:rPr>
          <w:rFonts w:eastAsia="Times New Roman" w:cstheme="minorHAnsi"/>
        </w:rPr>
        <w:t xml:space="preserve">Slijedom analize stanja, identificiranih snaga, slabosti, prilika i prijetnji te izdvojenih ključnih potencijala definirane su temeljene potrebe za budući razvoj biogospodarstva u Republici Hrvatskoj u skladu s raspoloživim resursima i prema </w:t>
      </w:r>
      <w:r w:rsidR="00A80AE7">
        <w:rPr>
          <w:rFonts w:eastAsia="Times New Roman" w:cstheme="minorHAnsi"/>
        </w:rPr>
        <w:t>najnovijim</w:t>
      </w:r>
      <w:r w:rsidR="00A80AE7" w:rsidRPr="00AC7D3B">
        <w:rPr>
          <w:rFonts w:eastAsia="Times New Roman" w:cstheme="minorHAnsi"/>
        </w:rPr>
        <w:t xml:space="preserve"> </w:t>
      </w:r>
      <w:r w:rsidR="003C43A4">
        <w:rPr>
          <w:rFonts w:eastAsia="Times New Roman" w:cstheme="minorHAnsi"/>
        </w:rPr>
        <w:t xml:space="preserve">važećim </w:t>
      </w:r>
      <w:r w:rsidRPr="00AC7D3B">
        <w:rPr>
          <w:rFonts w:eastAsia="Times New Roman" w:cstheme="minorHAnsi"/>
        </w:rPr>
        <w:t xml:space="preserve">europskim smjernicama. </w:t>
      </w:r>
    </w:p>
    <w:p w14:paraId="31F9BBB0" w14:textId="2C4F3348" w:rsidR="00844412" w:rsidRPr="00AC7D3B" w:rsidRDefault="00323FC0" w:rsidP="00AC7D3B">
      <w:pPr>
        <w:jc w:val="both"/>
        <w:rPr>
          <w:rFonts w:eastAsia="Times New Roman" w:cstheme="minorHAnsi"/>
          <w:b/>
        </w:rPr>
      </w:pPr>
      <w:r w:rsidRPr="00AC7D3B">
        <w:rPr>
          <w:rFonts w:eastAsia="Times New Roman" w:cstheme="minorHAnsi"/>
        </w:rPr>
        <w:t>Ključne potrebe su sljedeće</w:t>
      </w:r>
      <w:r w:rsidR="00844412" w:rsidRPr="00AC7D3B">
        <w:rPr>
          <w:rFonts w:eastAsia="Times New Roman" w:cstheme="minorHAnsi"/>
          <w:b/>
        </w:rPr>
        <w:t>:</w:t>
      </w:r>
    </w:p>
    <w:p w14:paraId="3D2AD75C" w14:textId="77777777" w:rsidR="006F5DBB" w:rsidRPr="00AC7D3B" w:rsidRDefault="006F5DBB" w:rsidP="009D0757">
      <w:pPr>
        <w:numPr>
          <w:ilvl w:val="0"/>
          <w:numId w:val="9"/>
        </w:numPr>
        <w:spacing w:before="120" w:after="0" w:line="276" w:lineRule="auto"/>
        <w:jc w:val="both"/>
        <w:rPr>
          <w:rFonts w:eastAsia="Times New Roman" w:cs="Times New Roman"/>
          <w:b/>
          <w:szCs w:val="24"/>
        </w:rPr>
      </w:pPr>
      <w:r w:rsidRPr="00AC7D3B">
        <w:rPr>
          <w:rFonts w:eastAsia="Times New Roman" w:cs="Times New Roman"/>
          <w:b/>
          <w:szCs w:val="24"/>
        </w:rPr>
        <w:t>povezati dionike u biogospodarstvu,</w:t>
      </w:r>
    </w:p>
    <w:p w14:paraId="2F94B4C0" w14:textId="77777777" w:rsidR="006F5DBB" w:rsidRPr="00154905" w:rsidRDefault="006F5DBB" w:rsidP="009D0757">
      <w:pPr>
        <w:numPr>
          <w:ilvl w:val="0"/>
          <w:numId w:val="9"/>
        </w:numPr>
        <w:spacing w:after="0" w:line="276" w:lineRule="auto"/>
        <w:jc w:val="both"/>
        <w:rPr>
          <w:rFonts w:eastAsia="Times New Roman" w:cs="Times New Roman"/>
          <w:b/>
          <w:szCs w:val="24"/>
        </w:rPr>
      </w:pPr>
      <w:r w:rsidRPr="00AC7D3B">
        <w:rPr>
          <w:rFonts w:eastAsia="Times New Roman" w:cs="Times New Roman"/>
          <w:b/>
          <w:szCs w:val="24"/>
        </w:rPr>
        <w:t>utvrditi i ukloniti prepreke</w:t>
      </w:r>
      <w:r w:rsidRPr="00154905">
        <w:rPr>
          <w:rFonts w:eastAsia="Times New Roman" w:cs="Times New Roman"/>
          <w:b/>
          <w:szCs w:val="24"/>
        </w:rPr>
        <w:t xml:space="preserve"> razvoju biogospodarstva,</w:t>
      </w:r>
    </w:p>
    <w:p w14:paraId="76E6E970" w14:textId="26DDBF4A" w:rsidR="006F5DBB" w:rsidRPr="00154905" w:rsidRDefault="006F5DBB" w:rsidP="009D0757">
      <w:pPr>
        <w:numPr>
          <w:ilvl w:val="0"/>
          <w:numId w:val="9"/>
        </w:numPr>
        <w:spacing w:after="0" w:line="276" w:lineRule="auto"/>
        <w:jc w:val="both"/>
        <w:rPr>
          <w:rFonts w:eastAsia="Times New Roman" w:cs="Times New Roman"/>
          <w:b/>
          <w:szCs w:val="24"/>
        </w:rPr>
      </w:pPr>
      <w:r w:rsidRPr="00154905">
        <w:rPr>
          <w:rFonts w:eastAsia="Times New Roman" w:cs="Times New Roman"/>
          <w:b/>
          <w:szCs w:val="24"/>
        </w:rPr>
        <w:t>identificirati i promicati odabrane lance vrijednosti u biogospodarstvu</w:t>
      </w:r>
      <w:r w:rsidR="006E1626">
        <w:rPr>
          <w:rFonts w:eastAsia="Times New Roman" w:cs="Times New Roman"/>
          <w:b/>
          <w:szCs w:val="24"/>
        </w:rPr>
        <w:t>,</w:t>
      </w:r>
      <w:r w:rsidRPr="00154905">
        <w:rPr>
          <w:rFonts w:eastAsia="Times New Roman" w:cs="Times New Roman"/>
          <w:b/>
          <w:szCs w:val="24"/>
        </w:rPr>
        <w:t xml:space="preserve"> </w:t>
      </w:r>
    </w:p>
    <w:p w14:paraId="139656AA" w14:textId="77777777" w:rsidR="006F5DBB" w:rsidRPr="00154905" w:rsidRDefault="006F5DBB" w:rsidP="009D0757">
      <w:pPr>
        <w:numPr>
          <w:ilvl w:val="0"/>
          <w:numId w:val="9"/>
        </w:numPr>
        <w:spacing w:after="0" w:line="276" w:lineRule="auto"/>
        <w:jc w:val="both"/>
        <w:rPr>
          <w:rFonts w:eastAsia="Times New Roman" w:cs="Times New Roman"/>
          <w:b/>
          <w:szCs w:val="24"/>
        </w:rPr>
      </w:pPr>
      <w:r w:rsidRPr="00154905">
        <w:rPr>
          <w:rFonts w:eastAsia="Times New Roman" w:cs="Times New Roman"/>
          <w:b/>
          <w:szCs w:val="24"/>
        </w:rPr>
        <w:t>promicati potrošnju domaćih proizvoda biogospodarstva,</w:t>
      </w:r>
    </w:p>
    <w:p w14:paraId="09877DAB" w14:textId="77777777" w:rsidR="006F5DBB" w:rsidRPr="00154905" w:rsidRDefault="006F5DBB" w:rsidP="009D0757">
      <w:pPr>
        <w:numPr>
          <w:ilvl w:val="0"/>
          <w:numId w:val="9"/>
        </w:numPr>
        <w:spacing w:after="0" w:line="276" w:lineRule="auto"/>
        <w:jc w:val="both"/>
        <w:rPr>
          <w:rFonts w:eastAsia="Times New Roman" w:cs="Times New Roman"/>
          <w:b/>
          <w:szCs w:val="24"/>
        </w:rPr>
      </w:pPr>
      <w:r w:rsidRPr="00154905">
        <w:rPr>
          <w:rFonts w:eastAsia="Times New Roman" w:cs="Times New Roman"/>
          <w:b/>
          <w:szCs w:val="24"/>
        </w:rPr>
        <w:t>mapirati raspoloživost i potražnju za biomasom,</w:t>
      </w:r>
    </w:p>
    <w:p w14:paraId="2DECCEA8" w14:textId="77777777" w:rsidR="006F5DBB" w:rsidRPr="00154905" w:rsidRDefault="006F5DBB" w:rsidP="009D0757">
      <w:pPr>
        <w:numPr>
          <w:ilvl w:val="0"/>
          <w:numId w:val="9"/>
        </w:numPr>
        <w:spacing w:after="0" w:line="276" w:lineRule="auto"/>
        <w:jc w:val="both"/>
        <w:rPr>
          <w:rFonts w:eastAsia="Times New Roman" w:cs="Times New Roman"/>
          <w:b/>
          <w:szCs w:val="24"/>
        </w:rPr>
      </w:pPr>
      <w:r w:rsidRPr="00154905">
        <w:rPr>
          <w:rFonts w:eastAsia="Times New Roman" w:cs="Times New Roman"/>
          <w:b/>
          <w:szCs w:val="24"/>
        </w:rPr>
        <w:t>održivo upravljati prirodnim resursima,</w:t>
      </w:r>
    </w:p>
    <w:p w14:paraId="4DF91A41" w14:textId="0A36C399" w:rsidR="00844412" w:rsidRPr="006F5DBB" w:rsidRDefault="006F5DBB" w:rsidP="009D0757">
      <w:pPr>
        <w:numPr>
          <w:ilvl w:val="0"/>
          <w:numId w:val="9"/>
        </w:numPr>
        <w:spacing w:after="0" w:line="276" w:lineRule="auto"/>
        <w:jc w:val="both"/>
        <w:rPr>
          <w:rFonts w:eastAsia="Times New Roman" w:cs="Times New Roman"/>
          <w:b/>
          <w:szCs w:val="24"/>
        </w:rPr>
      </w:pPr>
      <w:r w:rsidRPr="00154905">
        <w:rPr>
          <w:rFonts w:eastAsia="Times New Roman" w:cs="Times New Roman"/>
          <w:b/>
          <w:szCs w:val="24"/>
        </w:rPr>
        <w:t>dodatno poticati znanstveno</w:t>
      </w:r>
      <w:r w:rsidRPr="006F5DBB">
        <w:rPr>
          <w:rFonts w:eastAsia="Times New Roman" w:cs="Times New Roman"/>
          <w:b/>
          <w:szCs w:val="24"/>
        </w:rPr>
        <w:t>-istraživački rad i inovacije te njihovu primjenu u biogospodarstvu.</w:t>
      </w:r>
    </w:p>
    <w:p w14:paraId="1D7CE63F" w14:textId="77777777" w:rsidR="00A26C13" w:rsidRDefault="00A26C13" w:rsidP="00A26C13">
      <w:pPr>
        <w:spacing w:after="200" w:line="276" w:lineRule="auto"/>
        <w:jc w:val="both"/>
      </w:pPr>
    </w:p>
    <w:p w14:paraId="336F70F2" w14:textId="756F150A" w:rsidR="00A26C13" w:rsidRPr="00A26C13" w:rsidRDefault="00A26C13" w:rsidP="00A26C13">
      <w:pPr>
        <w:spacing w:after="200" w:line="276" w:lineRule="auto"/>
        <w:jc w:val="both"/>
        <w:rPr>
          <w:rFonts w:eastAsia="Calibri" w:cs="Times New Roman"/>
          <w:szCs w:val="24"/>
          <w:lang w:eastAsia="hr-HR"/>
        </w:rPr>
      </w:pPr>
      <w:r w:rsidRPr="006353E9">
        <w:t xml:space="preserve">Koordinacija izrade Strategije </w:t>
      </w:r>
      <w:r>
        <w:t xml:space="preserve">bila </w:t>
      </w:r>
      <w:r w:rsidRPr="006353E9">
        <w:t xml:space="preserve">je u nadležnosti Ministarstva poljoprivrede. </w:t>
      </w:r>
      <w:r>
        <w:rPr>
          <w:rFonts w:eastAsia="Calibri" w:cs="Times New Roman"/>
          <w:szCs w:val="24"/>
          <w:lang w:eastAsia="hr-HR"/>
        </w:rPr>
        <w:t>Uz</w:t>
      </w:r>
      <w:r w:rsidRPr="009973AC">
        <w:rPr>
          <w:rFonts w:eastAsia="Calibri" w:cs="Times New Roman"/>
          <w:szCs w:val="24"/>
          <w:lang w:eastAsia="hr-HR"/>
        </w:rPr>
        <w:t xml:space="preserve"> predstavni</w:t>
      </w:r>
      <w:r>
        <w:rPr>
          <w:rFonts w:eastAsia="Calibri" w:cs="Times New Roman"/>
          <w:szCs w:val="24"/>
          <w:lang w:eastAsia="hr-HR"/>
        </w:rPr>
        <w:t xml:space="preserve">ke </w:t>
      </w:r>
      <w:r w:rsidRPr="009973AC">
        <w:rPr>
          <w:rFonts w:eastAsia="Calibri" w:cs="Times New Roman"/>
          <w:szCs w:val="24"/>
          <w:lang w:eastAsia="hr-HR"/>
        </w:rPr>
        <w:t xml:space="preserve"> </w:t>
      </w:r>
      <w:r w:rsidRPr="006353E9">
        <w:t>Ministarstva poljoprivrede</w:t>
      </w:r>
      <w:r w:rsidRPr="009973AC">
        <w:rPr>
          <w:rFonts w:eastAsia="Calibri" w:cs="Times New Roman"/>
          <w:szCs w:val="24"/>
          <w:lang w:eastAsia="hr-HR"/>
        </w:rPr>
        <w:t xml:space="preserve"> </w:t>
      </w:r>
      <w:r>
        <w:rPr>
          <w:rFonts w:eastAsia="Calibri" w:cs="Times New Roman"/>
          <w:szCs w:val="24"/>
          <w:lang w:eastAsia="hr-HR"/>
        </w:rPr>
        <w:t>k</w:t>
      </w:r>
      <w:r w:rsidR="00844412" w:rsidRPr="009973AC">
        <w:rPr>
          <w:rFonts w:eastAsia="Calibri" w:cs="Times New Roman"/>
          <w:szCs w:val="24"/>
          <w:lang w:eastAsia="hr-HR"/>
        </w:rPr>
        <w:t xml:space="preserve">ljučni dionici uključeni u </w:t>
      </w:r>
      <w:r w:rsidR="005D2A56">
        <w:rPr>
          <w:rFonts w:eastAsia="Calibri" w:cs="Times New Roman"/>
          <w:szCs w:val="24"/>
          <w:lang w:eastAsia="hr-HR"/>
        </w:rPr>
        <w:t>izradu</w:t>
      </w:r>
      <w:r w:rsidR="003A776E">
        <w:rPr>
          <w:rFonts w:eastAsia="Calibri" w:cs="Times New Roman"/>
          <w:szCs w:val="24"/>
          <w:lang w:eastAsia="hr-HR"/>
        </w:rPr>
        <w:t xml:space="preserve"> Strategije</w:t>
      </w:r>
      <w:r w:rsidRPr="006353E9">
        <w:t xml:space="preserve"> </w:t>
      </w:r>
      <w:r>
        <w:t xml:space="preserve">bili su i predstavnici </w:t>
      </w:r>
      <w:r w:rsidRPr="006353E9">
        <w:t>Ministarstva gospodarstva i održivog razvoja, Ministarstva znanosti i obrazovanja te Ministarstva regionalnoga razvoja i fondova EU.</w:t>
      </w:r>
      <w:r>
        <w:rPr>
          <w:rFonts w:eastAsia="Calibri" w:cs="Times New Roman"/>
          <w:szCs w:val="24"/>
          <w:lang w:eastAsia="hr-HR"/>
        </w:rPr>
        <w:t xml:space="preserve"> </w:t>
      </w:r>
      <w:r w:rsidRPr="00E928D2">
        <w:t xml:space="preserve">Kroz Stručnu radnu skupinu i javno savjetovanje u izradu Strategije su bila uključena i druga tijela državne uprave, lokalna i područna (regionalna) samouprava, znanstvene i istraživačke institucije, nevladine organizacije, privatni sektor i drugi zainteresirani dionici. Glavni dionici bili su uključeni i u procese donošenja odluka u postupcima </w:t>
      </w:r>
      <w:r w:rsidRPr="00AC7D3B">
        <w:t>strateškog planiranja</w:t>
      </w:r>
      <w:r w:rsidR="00323FC0" w:rsidRPr="00AC7D3B">
        <w:t xml:space="preserve"> kroz sudjelovanje u Stručnoj radnoj skupini (47 članova iz različitih institucija) i kroz provedenu  javnu raspravu.</w:t>
      </w:r>
    </w:p>
    <w:p w14:paraId="28688A05" w14:textId="75856032" w:rsidR="00E03012" w:rsidRDefault="00844412" w:rsidP="00844412">
      <w:pPr>
        <w:spacing w:after="200" w:line="276" w:lineRule="auto"/>
        <w:jc w:val="both"/>
        <w:rPr>
          <w:rFonts w:cstheme="minorHAnsi"/>
        </w:rPr>
      </w:pPr>
      <w:r w:rsidRPr="009973AC">
        <w:t xml:space="preserve">Intervencijska logika </w:t>
      </w:r>
      <w:r w:rsidR="00A26C13">
        <w:t>Strategije</w:t>
      </w:r>
      <w:r w:rsidRPr="009973AC">
        <w:t xml:space="preserve"> vidljiva je iz predloženog strateškog okvira. Podmirivanje navedenih potreba i iskorištavanje postojećih razvojnih </w:t>
      </w:r>
      <w:r w:rsidRPr="00AC7D3B">
        <w:t xml:space="preserve">potencijala u </w:t>
      </w:r>
      <w:r w:rsidR="00A26C13" w:rsidRPr="00AC7D3B">
        <w:t xml:space="preserve">biogospodarstvu </w:t>
      </w:r>
      <w:r w:rsidRPr="00AC7D3B">
        <w:t xml:space="preserve"> bit će omogućeno provedbom </w:t>
      </w:r>
      <w:r w:rsidR="00E03012" w:rsidRPr="00AC7D3B">
        <w:t>tri</w:t>
      </w:r>
      <w:r w:rsidRPr="00AC7D3B">
        <w:t xml:space="preserve"> strateška cilja definirana </w:t>
      </w:r>
      <w:r w:rsidRPr="00AC7D3B">
        <w:rPr>
          <w:rFonts w:cstheme="minorHAnsi"/>
        </w:rPr>
        <w:t xml:space="preserve">Strategijom te kroz realizaciju </w:t>
      </w:r>
      <w:r w:rsidR="00E03012" w:rsidRPr="00AC7D3B">
        <w:rPr>
          <w:rFonts w:cstheme="minorHAnsi"/>
        </w:rPr>
        <w:t>navedenih prioriteta i provedbenih mehanizama koji su osnova za definiranje posebnih ciljeva i mjera</w:t>
      </w:r>
      <w:r w:rsidR="006E1626">
        <w:rPr>
          <w:rFonts w:cstheme="minorHAnsi"/>
        </w:rPr>
        <w:t>,</w:t>
      </w:r>
      <w:r w:rsidR="00E03012" w:rsidRPr="00AC7D3B">
        <w:rPr>
          <w:rFonts w:cstheme="minorHAnsi"/>
        </w:rPr>
        <w:t xml:space="preserve"> </w:t>
      </w:r>
      <w:r w:rsidR="004817E2" w:rsidRPr="00AC7D3B">
        <w:rPr>
          <w:rFonts w:cstheme="minorHAnsi"/>
        </w:rPr>
        <w:t xml:space="preserve">a što </w:t>
      </w:r>
      <w:r w:rsidR="00E03012" w:rsidRPr="00AC7D3B">
        <w:rPr>
          <w:rFonts w:cstheme="minorHAnsi"/>
        </w:rPr>
        <w:t>slijed</w:t>
      </w:r>
      <w:r w:rsidR="004817E2" w:rsidRPr="00AC7D3B">
        <w:rPr>
          <w:rFonts w:cstheme="minorHAnsi"/>
        </w:rPr>
        <w:t>i</w:t>
      </w:r>
      <w:r w:rsidR="00E03012" w:rsidRPr="00AC7D3B">
        <w:rPr>
          <w:rFonts w:cstheme="minorHAnsi"/>
        </w:rPr>
        <w:t xml:space="preserve"> u predstojećem Planu za razvoj biogospodarstva.</w:t>
      </w:r>
    </w:p>
    <w:p w14:paraId="6B4367D2" w14:textId="77777777" w:rsidR="00F67CF9" w:rsidRDefault="00F67CF9" w:rsidP="00844412">
      <w:pPr>
        <w:spacing w:after="200" w:line="276" w:lineRule="auto"/>
        <w:jc w:val="both"/>
        <w:rPr>
          <w:rFonts w:cstheme="minorHAnsi"/>
          <w:b/>
        </w:rPr>
      </w:pPr>
    </w:p>
    <w:p w14:paraId="78044D01" w14:textId="37058EC8" w:rsidR="00825B29" w:rsidRPr="00825B29" w:rsidRDefault="00825B29" w:rsidP="00844412">
      <w:pPr>
        <w:spacing w:after="200" w:line="276" w:lineRule="auto"/>
        <w:jc w:val="both"/>
        <w:rPr>
          <w:rFonts w:cstheme="minorHAnsi"/>
          <w:b/>
        </w:rPr>
      </w:pPr>
      <w:r w:rsidRPr="00825B29">
        <w:rPr>
          <w:rFonts w:cstheme="minorHAnsi"/>
          <w:b/>
        </w:rPr>
        <w:lastRenderedPageBreak/>
        <w:t xml:space="preserve">Strateški ciljevi Strategije su slijedeći: </w:t>
      </w:r>
    </w:p>
    <w:p w14:paraId="619F5CE6" w14:textId="56F38467" w:rsidR="00825B29" w:rsidRPr="00825B29" w:rsidRDefault="00825B29" w:rsidP="009D0757">
      <w:pPr>
        <w:pStyle w:val="Odlomakpopisa"/>
        <w:numPr>
          <w:ilvl w:val="0"/>
          <w:numId w:val="18"/>
        </w:numPr>
        <w:spacing w:after="200" w:line="276" w:lineRule="auto"/>
        <w:jc w:val="both"/>
        <w:rPr>
          <w:rFonts w:cstheme="minorHAnsi"/>
        </w:rPr>
      </w:pPr>
      <w:r w:rsidRPr="00825B29">
        <w:rPr>
          <w:rFonts w:eastAsia="Times New Roman" w:cs="Times New Roman"/>
          <w:b/>
        </w:rPr>
        <w:t>Unaprjeđenje i bolja koordinacija politika povezanih s biogospodarstvom</w:t>
      </w:r>
    </w:p>
    <w:p w14:paraId="572B5947" w14:textId="7BA1E21D" w:rsidR="00825B29" w:rsidRPr="00825B29" w:rsidRDefault="00825B29" w:rsidP="009D0757">
      <w:pPr>
        <w:pStyle w:val="Odlomakpopisa"/>
        <w:numPr>
          <w:ilvl w:val="0"/>
          <w:numId w:val="18"/>
        </w:numPr>
        <w:spacing w:after="200" w:line="276" w:lineRule="auto"/>
        <w:jc w:val="both"/>
        <w:rPr>
          <w:rFonts w:cstheme="minorHAnsi"/>
        </w:rPr>
      </w:pPr>
      <w:r w:rsidRPr="00825B29">
        <w:rPr>
          <w:rFonts w:eastAsia="Times New Roman" w:cs="Times New Roman"/>
          <w:b/>
        </w:rPr>
        <w:t>Razvoj održive proizvodnje i tržišta sirovina u biogospodarstvu</w:t>
      </w:r>
    </w:p>
    <w:p w14:paraId="7E056967" w14:textId="77777777" w:rsidR="00825B29" w:rsidRPr="00825B29" w:rsidRDefault="00825B29" w:rsidP="009D0757">
      <w:pPr>
        <w:pStyle w:val="Odlomakpopisa"/>
        <w:numPr>
          <w:ilvl w:val="0"/>
          <w:numId w:val="18"/>
        </w:numPr>
        <w:spacing w:after="200" w:line="276" w:lineRule="auto"/>
        <w:jc w:val="both"/>
        <w:rPr>
          <w:rFonts w:eastAsia="Calibri" w:cstheme="minorHAnsi"/>
        </w:rPr>
      </w:pPr>
      <w:r w:rsidRPr="00825B29">
        <w:rPr>
          <w:rFonts w:eastAsia="Times New Roman" w:cs="Times New Roman"/>
          <w:b/>
        </w:rPr>
        <w:t>Povećanje dodane vrijednosti u hrvatskom biogospodarstvu</w:t>
      </w:r>
    </w:p>
    <w:p w14:paraId="24C56EF6" w14:textId="18C85F0B" w:rsidR="00825B29" w:rsidRPr="00825B29" w:rsidRDefault="00825B29" w:rsidP="00825B29">
      <w:pPr>
        <w:spacing w:after="200" w:line="276" w:lineRule="auto"/>
        <w:ind w:left="360"/>
        <w:jc w:val="both"/>
        <w:rPr>
          <w:rFonts w:eastAsia="Calibri" w:cstheme="minorHAnsi"/>
          <w:color w:val="385623"/>
        </w:rPr>
      </w:pPr>
      <w:r w:rsidRPr="00825B29">
        <w:rPr>
          <w:rFonts w:eastAsia="Calibri" w:cstheme="minorHAnsi"/>
          <w:color w:val="385623"/>
        </w:rPr>
        <w:t>Pregled predloženih pokazatelja učinka je u sljedećoj tablici:</w:t>
      </w:r>
    </w:p>
    <w:tbl>
      <w:tblPr>
        <w:tblStyle w:val="Kadertabel1"/>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88"/>
        <w:gridCol w:w="3118"/>
        <w:gridCol w:w="992"/>
        <w:gridCol w:w="1276"/>
        <w:gridCol w:w="1276"/>
        <w:gridCol w:w="1417"/>
      </w:tblGrid>
      <w:tr w:rsidR="00825B29" w:rsidRPr="00825B29" w14:paraId="0915528B" w14:textId="77777777" w:rsidTr="00736350">
        <w:tc>
          <w:tcPr>
            <w:tcW w:w="988" w:type="dxa"/>
            <w:shd w:val="clear" w:color="auto" w:fill="538135"/>
            <w:vAlign w:val="center"/>
          </w:tcPr>
          <w:p w14:paraId="453E95FA"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Kod*</w:t>
            </w:r>
          </w:p>
        </w:tc>
        <w:tc>
          <w:tcPr>
            <w:tcW w:w="3118" w:type="dxa"/>
            <w:shd w:val="clear" w:color="auto" w:fill="538135"/>
            <w:vAlign w:val="center"/>
          </w:tcPr>
          <w:p w14:paraId="0D0C8405"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Naziv pokazatelja učinka</w:t>
            </w:r>
          </w:p>
        </w:tc>
        <w:tc>
          <w:tcPr>
            <w:tcW w:w="992" w:type="dxa"/>
            <w:shd w:val="clear" w:color="auto" w:fill="538135"/>
            <w:vAlign w:val="center"/>
          </w:tcPr>
          <w:p w14:paraId="34317262" w14:textId="77777777" w:rsidR="00825B29" w:rsidRPr="00825B29" w:rsidRDefault="00825B29" w:rsidP="00736350">
            <w:pPr>
              <w:spacing w:before="40" w:after="40" w:line="276" w:lineRule="auto"/>
              <w:jc w:val="center"/>
              <w:rPr>
                <w:rFonts w:eastAsia="Calibri" w:cstheme="minorHAnsi"/>
                <w:sz w:val="20"/>
                <w:szCs w:val="20"/>
              </w:rPr>
            </w:pPr>
            <w:r w:rsidRPr="00825B29">
              <w:rPr>
                <w:rFonts w:eastAsia="Calibri" w:cstheme="minorHAnsi"/>
                <w:b/>
                <w:color w:val="FFFFFF"/>
                <w:sz w:val="20"/>
                <w:szCs w:val="20"/>
              </w:rPr>
              <w:t>Jedinica mjere</w:t>
            </w:r>
          </w:p>
        </w:tc>
        <w:tc>
          <w:tcPr>
            <w:tcW w:w="1276" w:type="dxa"/>
            <w:shd w:val="clear" w:color="auto" w:fill="538135"/>
            <w:vAlign w:val="center"/>
          </w:tcPr>
          <w:p w14:paraId="67FDE6C7"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Početna vrijednost</w:t>
            </w:r>
          </w:p>
        </w:tc>
        <w:tc>
          <w:tcPr>
            <w:tcW w:w="1276" w:type="dxa"/>
            <w:shd w:val="clear" w:color="auto" w:fill="538135"/>
            <w:vAlign w:val="center"/>
          </w:tcPr>
          <w:p w14:paraId="128B3D95"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Ciljana vrijednost (2035.)</w:t>
            </w:r>
          </w:p>
        </w:tc>
        <w:tc>
          <w:tcPr>
            <w:tcW w:w="1417" w:type="dxa"/>
            <w:shd w:val="clear" w:color="auto" w:fill="538135"/>
            <w:vAlign w:val="center"/>
          </w:tcPr>
          <w:p w14:paraId="02C63614"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Poveznica sa strateškim ciljem</w:t>
            </w:r>
          </w:p>
        </w:tc>
      </w:tr>
      <w:tr w:rsidR="00825B29" w:rsidRPr="00825B29" w14:paraId="3D68C5F9" w14:textId="77777777" w:rsidTr="00736350">
        <w:tc>
          <w:tcPr>
            <w:tcW w:w="988" w:type="dxa"/>
            <w:shd w:val="clear" w:color="auto" w:fill="F1F7ED"/>
          </w:tcPr>
          <w:p w14:paraId="120C5799"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7E893C6B"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 xml:space="preserve">Godišnje izvješće o napretku biogospodarstva </w:t>
            </w:r>
          </w:p>
        </w:tc>
        <w:tc>
          <w:tcPr>
            <w:tcW w:w="992" w:type="dxa"/>
            <w:shd w:val="clear" w:color="auto" w:fill="F1F7ED"/>
            <w:vAlign w:val="center"/>
          </w:tcPr>
          <w:p w14:paraId="71DFE07F"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broj</w:t>
            </w:r>
          </w:p>
        </w:tc>
        <w:tc>
          <w:tcPr>
            <w:tcW w:w="1276" w:type="dxa"/>
            <w:shd w:val="clear" w:color="auto" w:fill="F1F7ED"/>
            <w:vAlign w:val="center"/>
          </w:tcPr>
          <w:p w14:paraId="34B467E4"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0</w:t>
            </w:r>
          </w:p>
        </w:tc>
        <w:tc>
          <w:tcPr>
            <w:tcW w:w="1276" w:type="dxa"/>
            <w:shd w:val="clear" w:color="auto" w:fill="F1F7ED"/>
            <w:vAlign w:val="center"/>
          </w:tcPr>
          <w:p w14:paraId="08026422"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11</w:t>
            </w:r>
          </w:p>
        </w:tc>
        <w:tc>
          <w:tcPr>
            <w:tcW w:w="1417" w:type="dxa"/>
            <w:shd w:val="clear" w:color="auto" w:fill="F1F7ED"/>
            <w:vAlign w:val="center"/>
          </w:tcPr>
          <w:p w14:paraId="5EC818B5"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1</w:t>
            </w:r>
          </w:p>
        </w:tc>
      </w:tr>
      <w:tr w:rsidR="00825B29" w:rsidRPr="00825B29" w14:paraId="20E98988" w14:textId="77777777" w:rsidTr="00736350">
        <w:tc>
          <w:tcPr>
            <w:tcW w:w="988" w:type="dxa"/>
            <w:shd w:val="clear" w:color="auto" w:fill="F1F7ED"/>
          </w:tcPr>
          <w:p w14:paraId="777FC2B6"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7B5DB77A"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Uspostava distribucijskih centara za biomasu</w:t>
            </w:r>
          </w:p>
        </w:tc>
        <w:tc>
          <w:tcPr>
            <w:tcW w:w="992" w:type="dxa"/>
            <w:shd w:val="clear" w:color="auto" w:fill="F1F7ED"/>
            <w:vAlign w:val="center"/>
          </w:tcPr>
          <w:p w14:paraId="5554AACC"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broj</w:t>
            </w:r>
          </w:p>
        </w:tc>
        <w:tc>
          <w:tcPr>
            <w:tcW w:w="1276" w:type="dxa"/>
            <w:shd w:val="clear" w:color="auto" w:fill="F1F7ED"/>
            <w:vAlign w:val="center"/>
          </w:tcPr>
          <w:p w14:paraId="2C29281B"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0</w:t>
            </w:r>
          </w:p>
        </w:tc>
        <w:tc>
          <w:tcPr>
            <w:tcW w:w="1276" w:type="dxa"/>
            <w:shd w:val="clear" w:color="auto" w:fill="F1F7ED"/>
            <w:vAlign w:val="center"/>
          </w:tcPr>
          <w:p w14:paraId="41F45F09"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5</w:t>
            </w:r>
          </w:p>
        </w:tc>
        <w:tc>
          <w:tcPr>
            <w:tcW w:w="1417" w:type="dxa"/>
            <w:shd w:val="clear" w:color="auto" w:fill="F1F7ED"/>
            <w:vAlign w:val="center"/>
          </w:tcPr>
          <w:p w14:paraId="56EEC432"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2</w:t>
            </w:r>
          </w:p>
        </w:tc>
      </w:tr>
      <w:tr w:rsidR="00825B29" w:rsidRPr="00825B29" w14:paraId="785481F4" w14:textId="77777777" w:rsidTr="00736350">
        <w:tc>
          <w:tcPr>
            <w:tcW w:w="988" w:type="dxa"/>
            <w:shd w:val="clear" w:color="auto" w:fill="F1F7ED"/>
          </w:tcPr>
          <w:p w14:paraId="3A4DF84E"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5C3B9044"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Dodana vrijednost biogospodarstva</w:t>
            </w:r>
          </w:p>
        </w:tc>
        <w:tc>
          <w:tcPr>
            <w:tcW w:w="992" w:type="dxa"/>
            <w:shd w:val="clear" w:color="auto" w:fill="F1F7ED"/>
            <w:vAlign w:val="center"/>
          </w:tcPr>
          <w:p w14:paraId="741A68ED"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mil. EUR</w:t>
            </w:r>
          </w:p>
        </w:tc>
        <w:tc>
          <w:tcPr>
            <w:tcW w:w="1276" w:type="dxa"/>
            <w:shd w:val="clear" w:color="auto" w:fill="F1F7ED"/>
            <w:vAlign w:val="center"/>
          </w:tcPr>
          <w:p w14:paraId="34383F57"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3.700</w:t>
            </w:r>
          </w:p>
        </w:tc>
        <w:tc>
          <w:tcPr>
            <w:tcW w:w="1276" w:type="dxa"/>
            <w:shd w:val="clear" w:color="auto" w:fill="F1F7ED"/>
            <w:vAlign w:val="center"/>
          </w:tcPr>
          <w:p w14:paraId="6CE2AE2A"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9.139</w:t>
            </w:r>
          </w:p>
        </w:tc>
        <w:tc>
          <w:tcPr>
            <w:tcW w:w="1417" w:type="dxa"/>
            <w:shd w:val="clear" w:color="auto" w:fill="F1F7ED"/>
            <w:vAlign w:val="center"/>
          </w:tcPr>
          <w:p w14:paraId="4F407EFD"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3</w:t>
            </w:r>
          </w:p>
        </w:tc>
      </w:tr>
      <w:tr w:rsidR="00825B29" w:rsidRPr="00825B29" w14:paraId="76AF0A42" w14:textId="77777777" w:rsidTr="00736350">
        <w:tc>
          <w:tcPr>
            <w:tcW w:w="988" w:type="dxa"/>
            <w:shd w:val="clear" w:color="auto" w:fill="F1F7ED"/>
          </w:tcPr>
          <w:p w14:paraId="5D0A69DF"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738C7024"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Dodana vrijednost po zaposlenom u biogospodarstvu</w:t>
            </w:r>
          </w:p>
        </w:tc>
        <w:tc>
          <w:tcPr>
            <w:tcW w:w="992" w:type="dxa"/>
            <w:shd w:val="clear" w:color="auto" w:fill="F1F7ED"/>
            <w:vAlign w:val="center"/>
          </w:tcPr>
          <w:p w14:paraId="6DB71700"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tis. EUR</w:t>
            </w:r>
          </w:p>
        </w:tc>
        <w:tc>
          <w:tcPr>
            <w:tcW w:w="1276" w:type="dxa"/>
            <w:shd w:val="clear" w:color="auto" w:fill="F1F7ED"/>
            <w:vAlign w:val="center"/>
          </w:tcPr>
          <w:p w14:paraId="23FA5A01"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18</w:t>
            </w:r>
          </w:p>
        </w:tc>
        <w:tc>
          <w:tcPr>
            <w:tcW w:w="1276" w:type="dxa"/>
            <w:shd w:val="clear" w:color="auto" w:fill="F1F7ED"/>
            <w:vAlign w:val="center"/>
          </w:tcPr>
          <w:p w14:paraId="565BADB5"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23</w:t>
            </w:r>
          </w:p>
        </w:tc>
        <w:tc>
          <w:tcPr>
            <w:tcW w:w="1417" w:type="dxa"/>
            <w:shd w:val="clear" w:color="auto" w:fill="F1F7ED"/>
            <w:vAlign w:val="center"/>
          </w:tcPr>
          <w:p w14:paraId="1623CE53"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3</w:t>
            </w:r>
          </w:p>
        </w:tc>
      </w:tr>
    </w:tbl>
    <w:p w14:paraId="34298A73" w14:textId="77777777" w:rsidR="00825B29" w:rsidRPr="007B0BCF" w:rsidRDefault="00825B29" w:rsidP="00825B29">
      <w:pPr>
        <w:rPr>
          <w:rFonts w:cstheme="minorHAnsi"/>
        </w:rPr>
      </w:pPr>
    </w:p>
    <w:p w14:paraId="0DE60CB7" w14:textId="69D4DD55" w:rsidR="00BD7F7E" w:rsidRPr="00BD7F7E" w:rsidRDefault="00844412" w:rsidP="00BD7F7E">
      <w:pPr>
        <w:spacing w:after="200" w:line="276" w:lineRule="auto"/>
        <w:jc w:val="both"/>
        <w:rPr>
          <w:rFonts w:cstheme="minorHAnsi"/>
        </w:rPr>
      </w:pPr>
      <w:r w:rsidRPr="0024183A">
        <w:rPr>
          <w:rFonts w:cstheme="minorHAnsi"/>
        </w:rPr>
        <w:t xml:space="preserve">U poglavlju </w:t>
      </w:r>
      <w:r w:rsidR="0024183A" w:rsidRPr="0024183A">
        <w:rPr>
          <w:rFonts w:cstheme="minorHAnsi"/>
        </w:rPr>
        <w:t>6</w:t>
      </w:r>
      <w:r w:rsidR="006E1626">
        <w:rPr>
          <w:rFonts w:cstheme="minorHAnsi"/>
        </w:rPr>
        <w:t>.</w:t>
      </w:r>
      <w:r w:rsidR="00BD7F7E" w:rsidRPr="0024183A">
        <w:rPr>
          <w:rFonts w:cstheme="minorHAnsi"/>
        </w:rPr>
        <w:t xml:space="preserve"> </w:t>
      </w:r>
      <w:r w:rsidR="00B87D94" w:rsidRPr="00B87D94">
        <w:rPr>
          <w:rFonts w:cstheme="minorHAnsi"/>
        </w:rPr>
        <w:t>Nacrta</w:t>
      </w:r>
      <w:r w:rsidR="00B87D94" w:rsidRPr="00154905">
        <w:rPr>
          <w:rFonts w:cstheme="minorHAnsi"/>
        </w:rPr>
        <w:t xml:space="preserve"> </w:t>
      </w:r>
      <w:r w:rsidR="00BD7F7E" w:rsidRPr="0024183A">
        <w:rPr>
          <w:rFonts w:cstheme="minorHAnsi"/>
        </w:rPr>
        <w:t xml:space="preserve">Strategije </w:t>
      </w:r>
      <w:r w:rsidRPr="0024183A">
        <w:rPr>
          <w:rFonts w:cstheme="minorHAnsi"/>
        </w:rPr>
        <w:t>opisan</w:t>
      </w:r>
      <w:r w:rsidR="00BD7F7E" w:rsidRPr="0024183A">
        <w:rPr>
          <w:rFonts w:cstheme="minorHAnsi"/>
        </w:rPr>
        <w:t>i su provedbeni mehanizmi Strategije. Izdvojen</w:t>
      </w:r>
      <w:r w:rsidR="006E1626">
        <w:rPr>
          <w:rFonts w:cstheme="minorHAnsi"/>
        </w:rPr>
        <w:t>o</w:t>
      </w:r>
      <w:r w:rsidR="00BD7F7E" w:rsidRPr="0024183A">
        <w:rPr>
          <w:rFonts w:cstheme="minorHAnsi"/>
        </w:rPr>
        <w:t xml:space="preserve"> ih je 8 te su </w:t>
      </w:r>
      <w:r w:rsidR="00BD7F7E" w:rsidRPr="0024183A">
        <w:rPr>
          <w:rFonts w:eastAsia="Calibri" w:cs="Times New Roman"/>
        </w:rPr>
        <w:t>usmjereni na uklanjanje administrativnih i drugih prepreka, promicanje istraživanja, unaprjeđenje tržišta biomase te podupiranje</w:t>
      </w:r>
      <w:r w:rsidR="00BD7F7E" w:rsidRPr="006353E9">
        <w:rPr>
          <w:rFonts w:eastAsia="Calibri" w:cs="Times New Roman"/>
        </w:rPr>
        <w:t xml:space="preserve"> proizvodnje u biogospodarstv</w:t>
      </w:r>
      <w:r w:rsidR="006E1626">
        <w:rPr>
          <w:rFonts w:eastAsia="Calibri" w:cs="Times New Roman"/>
        </w:rPr>
        <w:t>u</w:t>
      </w:r>
      <w:r w:rsidR="00BD7F7E" w:rsidRPr="006353E9">
        <w:rPr>
          <w:rFonts w:eastAsia="Calibri" w:cs="Times New Roman"/>
        </w:rPr>
        <w:t xml:space="preserve">. </w:t>
      </w:r>
    </w:p>
    <w:p w14:paraId="24E534A1" w14:textId="0048BDC4" w:rsidR="00BD7F7E" w:rsidRPr="00BD7F7E" w:rsidRDefault="00BD7F7E" w:rsidP="00BD7F7E">
      <w:pPr>
        <w:spacing w:line="276" w:lineRule="auto"/>
        <w:rPr>
          <w:rFonts w:eastAsia="Calibri" w:cs="Times New Roman"/>
          <w:b/>
        </w:rPr>
      </w:pPr>
      <w:r w:rsidRPr="00BD7F7E">
        <w:rPr>
          <w:rFonts w:eastAsia="Calibri" w:cs="Times New Roman"/>
          <w:b/>
        </w:rPr>
        <w:t>Provedbeni mehanizmi su sljedeći:</w:t>
      </w:r>
    </w:p>
    <w:p w14:paraId="0820D99C"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Osnivanje koordinacijskog tijela za razvoj biogospodarstva,</w:t>
      </w:r>
    </w:p>
    <w:p w14:paraId="6F48F655"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Razvoj digitalnih platformi za umrežavanje i razmjenu informacija,</w:t>
      </w:r>
    </w:p>
    <w:p w14:paraId="5D1F11B7"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Planiranje i izgradnja distribucijskih centara za biomasu,</w:t>
      </w:r>
    </w:p>
    <w:p w14:paraId="0BF7769F"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Uređivanje korištenja otpadnog mulja,</w:t>
      </w:r>
    </w:p>
    <w:p w14:paraId="2F8E5CC6"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Poticanje izgradnje i modernizacije kapaciteta u sektorima biogospodarstva,</w:t>
      </w:r>
    </w:p>
    <w:p w14:paraId="0389D573"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Poticanje proizvodnje ambalaže od recikliranog materijala, biobazirane te biorazgradive plastike,</w:t>
      </w:r>
    </w:p>
    <w:p w14:paraId="59CE551F"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Provedba zelene javne nabave u funkciji razvoja biogospodarstva,</w:t>
      </w:r>
    </w:p>
    <w:p w14:paraId="5BA476E1" w14:textId="77777777" w:rsidR="00BD7F7E" w:rsidRPr="00BD7F7E" w:rsidRDefault="00BD7F7E" w:rsidP="009D0757">
      <w:pPr>
        <w:pStyle w:val="Odlomakpopisa"/>
        <w:numPr>
          <w:ilvl w:val="0"/>
          <w:numId w:val="15"/>
        </w:numPr>
        <w:spacing w:after="0" w:line="276" w:lineRule="auto"/>
        <w:rPr>
          <w:rFonts w:eastAsia="Calibri" w:cs="Times New Roman"/>
          <w:b/>
        </w:rPr>
      </w:pPr>
      <w:r w:rsidRPr="00BD7F7E">
        <w:rPr>
          <w:rFonts w:eastAsia="Calibri" w:cs="Times New Roman"/>
          <w:b/>
        </w:rPr>
        <w:t>Provedba istraživanja i inovacija povezanih s biogospodarstvom.</w:t>
      </w:r>
    </w:p>
    <w:p w14:paraId="25ACEA14" w14:textId="77777777" w:rsidR="00BD7F7E" w:rsidRDefault="00BD7F7E" w:rsidP="00844412">
      <w:pPr>
        <w:spacing w:after="200" w:line="276" w:lineRule="auto"/>
        <w:jc w:val="both"/>
        <w:rPr>
          <w:rFonts w:cstheme="minorHAnsi"/>
        </w:rPr>
      </w:pPr>
    </w:p>
    <w:p w14:paraId="251B36C6" w14:textId="180C0FCD" w:rsidR="00044696" w:rsidRPr="0024183A" w:rsidRDefault="00BD7F7E" w:rsidP="00044696">
      <w:pPr>
        <w:spacing w:after="200" w:line="276" w:lineRule="auto"/>
        <w:jc w:val="both"/>
        <w:rPr>
          <w:rFonts w:cstheme="minorHAnsi"/>
        </w:rPr>
      </w:pPr>
      <w:r w:rsidRPr="00AC7D3B">
        <w:rPr>
          <w:rFonts w:cstheme="minorHAnsi"/>
        </w:rPr>
        <w:t xml:space="preserve">U poglavlju </w:t>
      </w:r>
      <w:r w:rsidR="001270E2" w:rsidRPr="00AC7D3B">
        <w:rPr>
          <w:rFonts w:cstheme="minorHAnsi"/>
        </w:rPr>
        <w:t>7</w:t>
      </w:r>
      <w:r w:rsidRPr="00AC7D3B">
        <w:rPr>
          <w:rFonts w:cstheme="minorHAnsi"/>
        </w:rPr>
        <w:t>.</w:t>
      </w:r>
      <w:r w:rsidR="00844412" w:rsidRPr="00AC7D3B">
        <w:rPr>
          <w:rFonts w:cstheme="minorHAnsi"/>
        </w:rPr>
        <w:t xml:space="preserve"> </w:t>
      </w:r>
      <w:r w:rsidRPr="00AC7D3B">
        <w:rPr>
          <w:rFonts w:cstheme="minorHAnsi"/>
        </w:rPr>
        <w:t>navedene su mogućnosti financiranja provedbe Strategije.</w:t>
      </w:r>
      <w:r w:rsidR="00323FC0" w:rsidRPr="00AC7D3B">
        <w:rPr>
          <w:rFonts w:cstheme="minorHAnsi"/>
        </w:rPr>
        <w:t xml:space="preserve"> </w:t>
      </w:r>
      <w:r w:rsidR="00044696" w:rsidRPr="00AC7D3B">
        <w:rPr>
          <w:rFonts w:eastAsia="Calibri" w:cs="Times New Roman"/>
        </w:rPr>
        <w:t>U poglavlju se daje osvrt na mogućnosti financiranja u proračunskom</w:t>
      </w:r>
      <w:r w:rsidR="00044696" w:rsidRPr="0024183A">
        <w:rPr>
          <w:rFonts w:eastAsia="Calibri" w:cs="Times New Roman"/>
        </w:rPr>
        <w:t xml:space="preserve"> razdoblju do 2027. godine, za koje su pripremljeni planski dokumenti za korištenje sredstava EU fondova. Ostvarenje strateških ciljeva podupirat će se prvenstveno iz EU financiranih programa, uz sufinanciranje iz Državnog proračuna. U ovom trenutku nije moguće dati podatke o financiranju za cijelo razdoblje provedbe </w:t>
      </w:r>
      <w:r w:rsidR="00044696" w:rsidRPr="00B87D94">
        <w:rPr>
          <w:rFonts w:eastAsia="Calibri" w:cs="Times New Roman"/>
        </w:rPr>
        <w:t>Strategije</w:t>
      </w:r>
      <w:r w:rsidR="00044696" w:rsidRPr="0024183A">
        <w:rPr>
          <w:rFonts w:eastAsia="Calibri" w:cs="Times New Roman"/>
        </w:rPr>
        <w:t xml:space="preserve">, odnosno za buduće razdoblje programiranja  2028.-2035. Projekti biogospodarstva su po svojoj naravi prvenstveno prihvatljivi za potpore EU sredstvima iz Europskog fonda za regionalni razvoj, Kohezijskog fonda, Europskog poljoprivrednog fonda za ruralni </w:t>
      </w:r>
      <w:r w:rsidR="00044696" w:rsidRPr="0024183A">
        <w:rPr>
          <w:rFonts w:eastAsia="Calibri" w:cs="Times New Roman"/>
        </w:rPr>
        <w:lastRenderedPageBreak/>
        <w:t>razvoj i Modernizacijskog fonda te nacionalnim sredstvima iz Fonda za zaštitu okoliša i energetsku učinkovitost.</w:t>
      </w:r>
    </w:p>
    <w:p w14:paraId="211E3C40" w14:textId="21C6EA6A" w:rsidR="00140AA9" w:rsidRPr="00140AA9" w:rsidRDefault="00844412" w:rsidP="00140AA9">
      <w:pPr>
        <w:spacing w:after="200" w:line="276" w:lineRule="auto"/>
        <w:jc w:val="both"/>
        <w:rPr>
          <w:rFonts w:cs="Times New Roman"/>
        </w:rPr>
      </w:pPr>
      <w:r w:rsidRPr="0024183A">
        <w:rPr>
          <w:rFonts w:cs="Times New Roman"/>
        </w:rPr>
        <w:t xml:space="preserve">Kao što je navedeno u poglavlju </w:t>
      </w:r>
      <w:r w:rsidR="00044696" w:rsidRPr="0024183A">
        <w:rPr>
          <w:rFonts w:cs="Times New Roman"/>
        </w:rPr>
        <w:t>8</w:t>
      </w:r>
      <w:r w:rsidRPr="0024183A">
        <w:rPr>
          <w:rFonts w:cs="Times New Roman"/>
        </w:rPr>
        <w:t xml:space="preserve">. </w:t>
      </w:r>
      <w:r w:rsidR="00D07963">
        <w:rPr>
          <w:rFonts w:cs="Times New Roman"/>
        </w:rPr>
        <w:t>Strategije</w:t>
      </w:r>
      <w:r w:rsidRPr="0024183A">
        <w:rPr>
          <w:rFonts w:cs="Times New Roman"/>
        </w:rPr>
        <w:t xml:space="preserve"> (Okvir za praćenje</w:t>
      </w:r>
      <w:r w:rsidR="000F2864">
        <w:rPr>
          <w:rFonts w:cs="Times New Roman"/>
        </w:rPr>
        <w:t xml:space="preserve"> i</w:t>
      </w:r>
      <w:r w:rsidRPr="0024183A">
        <w:rPr>
          <w:rFonts w:cs="Times New Roman"/>
        </w:rPr>
        <w:t xml:space="preserve"> vrednovanje) Ministarstvo će, kao nositelj izrade </w:t>
      </w:r>
      <w:r w:rsidR="00140AA9" w:rsidRPr="0024183A">
        <w:rPr>
          <w:rFonts w:cs="Times New Roman"/>
        </w:rPr>
        <w:t>Strategije pratiti u</w:t>
      </w:r>
      <w:r w:rsidR="00140AA9" w:rsidRPr="0024183A">
        <w:rPr>
          <w:rFonts w:eastAsia="Calibri" w:cs="Times New Roman"/>
        </w:rPr>
        <w:t>spješnost njene provedbe na razini ostvarenja strateških ciljeva prikupljanjem, analizom i usporedbom podataka o napretku u postizanju vrijednosti odabranih pokazatelja učinka. Koordinacijsko tijelo za pitanja biogospodarstva podnosit će izvješće o provedbi strateških ciljeva i ostvarenju pokazatelja učinka iz Strategije u propisanim rokovima i u skladu s načelima sustava strateškog planiranja i upravljanja razvojem. U sredini razdoblja, tijekom 2028. godine provest će se vrednovanje tijekom provedbe Strategije kako bi se utvrdili nedostaci u provedbi te u skladu s nalazima vrednovanja poduzeli potrebni koraci ukoliko budu potrebne određene izmjene. Tijekom 2036. godine predviđeno je naknadno vrednovanje Strategije u okviru kojeg će se ocijeniti cjelokupni učinak Strategije, odnosno njezina održivost</w:t>
      </w:r>
      <w:r w:rsidR="00140AA9" w:rsidRPr="003E5E3A">
        <w:rPr>
          <w:rFonts w:eastAsia="Calibri" w:cs="Times New Roman"/>
        </w:rPr>
        <w:t>, djelotvornost i učinkovitost.</w:t>
      </w:r>
      <w:r w:rsidR="00140AA9">
        <w:rPr>
          <w:rFonts w:eastAsia="Calibri" w:cs="Times New Roman"/>
        </w:rPr>
        <w:t xml:space="preserve"> </w:t>
      </w:r>
    </w:p>
    <w:p w14:paraId="7AFBCD3A" w14:textId="4B2229FC" w:rsidR="00844412" w:rsidRDefault="00844412" w:rsidP="00844412">
      <w:pPr>
        <w:spacing w:after="200" w:line="276" w:lineRule="auto"/>
        <w:jc w:val="both"/>
        <w:rPr>
          <w:rFonts w:asciiTheme="majorHAnsi" w:hAnsiTheme="majorHAnsi" w:cstheme="majorHAnsi"/>
          <w:b/>
          <w:color w:val="2E74B5" w:themeColor="accent1" w:themeShade="BF"/>
          <w:sz w:val="28"/>
          <w:szCs w:val="28"/>
        </w:rPr>
      </w:pPr>
    </w:p>
    <w:p w14:paraId="28FD3224" w14:textId="632EA2A5" w:rsidR="00844412" w:rsidRPr="005617E7" w:rsidRDefault="00F67CF9" w:rsidP="00AC1416">
      <w:pPr>
        <w:pStyle w:val="Naslov1"/>
        <w:rPr>
          <w:b/>
        </w:rPr>
      </w:pPr>
      <w:r>
        <w:rPr>
          <w:b/>
        </w:rPr>
        <w:t>4</w:t>
      </w:r>
      <w:r w:rsidR="00844412" w:rsidRPr="005617E7">
        <w:rPr>
          <w:b/>
        </w:rPr>
        <w:t>. METODOLOŠKI PRISTUP</w:t>
      </w:r>
    </w:p>
    <w:p w14:paraId="76A20C8B" w14:textId="77777777" w:rsidR="00D07963" w:rsidRDefault="00D07963" w:rsidP="006F5DBB">
      <w:pPr>
        <w:pStyle w:val="box460819"/>
        <w:spacing w:before="0" w:beforeAutospacing="0" w:after="160" w:afterAutospacing="0" w:line="259" w:lineRule="auto"/>
        <w:ind w:left="720"/>
        <w:jc w:val="both"/>
        <w:rPr>
          <w:rFonts w:asciiTheme="minorHAnsi" w:hAnsiTheme="minorHAnsi" w:cstheme="minorHAnsi"/>
          <w:b/>
          <w:sz w:val="22"/>
          <w:szCs w:val="22"/>
          <w:u w:val="single"/>
        </w:rPr>
      </w:pPr>
    </w:p>
    <w:p w14:paraId="3DE366F5" w14:textId="77777777" w:rsidR="00AC1416" w:rsidRPr="0046158F" w:rsidRDefault="00AC1416" w:rsidP="00AC1416">
      <w:pPr>
        <w:jc w:val="both"/>
        <w:rPr>
          <w:rFonts w:asciiTheme="majorHAnsi" w:hAnsiTheme="majorHAnsi" w:cstheme="majorHAnsi"/>
          <w:b/>
          <w:color w:val="0070C0"/>
          <w:sz w:val="24"/>
          <w:szCs w:val="24"/>
          <w:u w:val="single"/>
        </w:rPr>
      </w:pPr>
      <w:r w:rsidRPr="0046158F">
        <w:rPr>
          <w:rFonts w:asciiTheme="majorHAnsi" w:hAnsiTheme="majorHAnsi" w:cstheme="majorHAnsi"/>
          <w:b/>
          <w:color w:val="0070C0"/>
          <w:sz w:val="24"/>
          <w:szCs w:val="24"/>
          <w:u w:val="single"/>
        </w:rPr>
        <w:t>Ključni pojmovi, kriteriji vrednovanja i evaluacijska pitanja</w:t>
      </w:r>
    </w:p>
    <w:p w14:paraId="57F1ABCE" w14:textId="671BAE29" w:rsidR="00AC1416" w:rsidRDefault="00AC1416" w:rsidP="004B638A">
      <w:pPr>
        <w:spacing w:after="200"/>
        <w:ind w:left="360"/>
        <w:jc w:val="both"/>
        <w:rPr>
          <w:rFonts w:cstheme="minorHAnsi"/>
        </w:rPr>
      </w:pPr>
      <w:r>
        <w:rPr>
          <w:rFonts w:cstheme="minorHAnsi"/>
        </w:rPr>
        <w:t>U skladu sa spomenutim novim Pravilnikom iz 2023., v</w:t>
      </w:r>
      <w:r w:rsidRPr="009975C5">
        <w:rPr>
          <w:rFonts w:cstheme="minorHAnsi"/>
        </w:rPr>
        <w:t xml:space="preserve">rednovanje </w:t>
      </w:r>
      <w:r>
        <w:rPr>
          <w:rFonts w:cstheme="minorHAnsi"/>
        </w:rPr>
        <w:t xml:space="preserve">je obuhvatilo </w:t>
      </w:r>
      <w:r w:rsidRPr="009975C5">
        <w:rPr>
          <w:rFonts w:cstheme="minorHAnsi"/>
        </w:rPr>
        <w:t>sljedeće ključne kriterije:</w:t>
      </w:r>
    </w:p>
    <w:p w14:paraId="6D58DFC4" w14:textId="77777777" w:rsidR="00AC1416" w:rsidRPr="00B10F79" w:rsidRDefault="00AC1416" w:rsidP="004B638A">
      <w:pPr>
        <w:numPr>
          <w:ilvl w:val="0"/>
          <w:numId w:val="16"/>
        </w:numPr>
        <w:spacing w:after="200"/>
        <w:jc w:val="both"/>
        <w:rPr>
          <w:rFonts w:cstheme="minorHAnsi"/>
        </w:rPr>
      </w:pPr>
      <w:r w:rsidRPr="00B10F79">
        <w:rPr>
          <w:rFonts w:cstheme="minorHAnsi"/>
          <w:b/>
          <w:bCs/>
        </w:rPr>
        <w:t>Važnost (relevantnost)</w:t>
      </w:r>
      <w:r w:rsidRPr="00B10F79">
        <w:rPr>
          <w:rFonts w:cstheme="minorHAnsi"/>
        </w:rPr>
        <w:t xml:space="preserve"> kojim se provjerava da li su</w:t>
      </w:r>
      <w:r w:rsidRPr="00202FEB">
        <w:rPr>
          <w:rFonts w:cstheme="minorHAnsi"/>
        </w:rPr>
        <w:t xml:space="preserve"> strateški ciljevi </w:t>
      </w:r>
      <w:r w:rsidRPr="00B10F79">
        <w:rPr>
          <w:rFonts w:cstheme="minorHAnsi"/>
        </w:rPr>
        <w:t xml:space="preserve"> (SC) i</w:t>
      </w:r>
      <w:r w:rsidRPr="00202FEB">
        <w:rPr>
          <w:rFonts w:cstheme="minorHAnsi"/>
        </w:rPr>
        <w:t xml:space="preserve"> provedbeni mehanizmi</w:t>
      </w:r>
      <w:r w:rsidRPr="00B10F79">
        <w:rPr>
          <w:rFonts w:cstheme="minorHAnsi"/>
        </w:rPr>
        <w:t xml:space="preserve"> (PM) utemeljeni na stvarnim potrebama i razvojnim potencijalima, tj. provjerava se razina u kojoj su opravdani u odnosu na ključna razvojna ograničenja i  potrebe u izrađenim analizama.</w:t>
      </w:r>
    </w:p>
    <w:p w14:paraId="058D4B8E" w14:textId="7C225D5E" w:rsidR="00AC1416" w:rsidRPr="00B10F79" w:rsidRDefault="00AC1416" w:rsidP="004B638A">
      <w:pPr>
        <w:numPr>
          <w:ilvl w:val="0"/>
          <w:numId w:val="16"/>
        </w:numPr>
        <w:spacing w:after="200"/>
        <w:jc w:val="both"/>
        <w:rPr>
          <w:rFonts w:cstheme="minorHAnsi"/>
        </w:rPr>
      </w:pPr>
      <w:r w:rsidRPr="00B10F79">
        <w:rPr>
          <w:rFonts w:cstheme="minorHAnsi"/>
          <w:b/>
          <w:bCs/>
        </w:rPr>
        <w:t>Usklađenost (koherentnost)</w:t>
      </w:r>
      <w:r w:rsidRPr="00B10F79">
        <w:rPr>
          <w:rFonts w:cstheme="minorHAnsi"/>
        </w:rPr>
        <w:t xml:space="preserve">, kriterij kojim se razmatra </w:t>
      </w:r>
      <w:r>
        <w:rPr>
          <w:rFonts w:cstheme="minorHAnsi"/>
        </w:rPr>
        <w:t>je</w:t>
      </w:r>
      <w:r w:rsidRPr="00B10F79">
        <w:rPr>
          <w:rFonts w:cstheme="minorHAnsi"/>
        </w:rPr>
        <w:t xml:space="preserve"> li </w:t>
      </w:r>
      <w:r w:rsidRPr="00B10F79">
        <w:rPr>
          <w:rFonts w:cstheme="minorHAnsi"/>
          <w:b/>
          <w:bCs/>
        </w:rPr>
        <w:t>ostvarena unutarnja kao i vanjska usklađenost Strategije</w:t>
      </w:r>
      <w:r w:rsidRPr="00B10F79">
        <w:rPr>
          <w:rFonts w:cstheme="minorHAnsi"/>
        </w:rPr>
        <w:t>.</w:t>
      </w:r>
    </w:p>
    <w:p w14:paraId="1898490D" w14:textId="77777777" w:rsidR="00AC1416" w:rsidRDefault="00AC1416" w:rsidP="004B638A">
      <w:pPr>
        <w:numPr>
          <w:ilvl w:val="0"/>
          <w:numId w:val="16"/>
        </w:numPr>
        <w:spacing w:after="200"/>
        <w:jc w:val="both"/>
        <w:rPr>
          <w:rFonts w:cstheme="minorHAnsi"/>
        </w:rPr>
      </w:pPr>
      <w:r w:rsidRPr="00B10F79">
        <w:rPr>
          <w:rFonts w:cstheme="minorHAnsi"/>
          <w:b/>
          <w:bCs/>
        </w:rPr>
        <w:t>Učinkovitost</w:t>
      </w:r>
      <w:r w:rsidRPr="00B10F79">
        <w:rPr>
          <w:rFonts w:cstheme="minorHAnsi"/>
        </w:rPr>
        <w:t xml:space="preserve"> (efektivnost),  kojim se utvrđuje </w:t>
      </w:r>
      <w:r w:rsidRPr="00EC18EA">
        <w:rPr>
          <w:rFonts w:cstheme="minorHAnsi"/>
          <w:b/>
          <w:bCs/>
        </w:rPr>
        <w:t xml:space="preserve">mogućnost </w:t>
      </w:r>
      <w:r w:rsidRPr="00EC18EA">
        <w:rPr>
          <w:rFonts w:cstheme="minorHAnsi"/>
          <w:b/>
        </w:rPr>
        <w:t>ostvarenja</w:t>
      </w:r>
      <w:r w:rsidRPr="00B10F79">
        <w:rPr>
          <w:rFonts w:cstheme="minorHAnsi"/>
        </w:rPr>
        <w:t xml:space="preserve"> ili postizanja ciljeva i učinaka provedbe Strategije te nastanak planiranih promjena u okolini ili stanju korisnika javne politike, odnosno posljedice provedbe Strategije.</w:t>
      </w:r>
    </w:p>
    <w:p w14:paraId="25372F9F" w14:textId="77777777" w:rsidR="00AC1416" w:rsidRPr="00B10F79" w:rsidRDefault="00AC1416" w:rsidP="004B638A">
      <w:pPr>
        <w:numPr>
          <w:ilvl w:val="0"/>
          <w:numId w:val="16"/>
        </w:numPr>
        <w:spacing w:after="200"/>
        <w:jc w:val="both"/>
        <w:rPr>
          <w:rFonts w:cstheme="minorHAnsi"/>
        </w:rPr>
      </w:pPr>
      <w:r w:rsidRPr="00B10F79">
        <w:rPr>
          <w:rFonts w:cstheme="minorHAnsi"/>
          <w:b/>
          <w:bCs/>
        </w:rPr>
        <w:t>Djelotvornost (efikasnost)</w:t>
      </w:r>
      <w:r w:rsidRPr="00B10F79">
        <w:rPr>
          <w:rFonts w:cstheme="minorHAnsi"/>
        </w:rPr>
        <w:t xml:space="preserve"> - kojim se utvrđuje opravdanost izrade i provedbe Strategije u odnosu na ishode i učinke koje njena provedba treba postići. Djelotvornost podrazumijeva ostvarivanje utvrđenih ciljeva i provedbu Strategije </w:t>
      </w:r>
      <w:r w:rsidRPr="00B10F79">
        <w:rPr>
          <w:rFonts w:cstheme="minorHAnsi"/>
          <w:b/>
          <w:bCs/>
        </w:rPr>
        <w:t>s minimalnim troškovima, odnosno postizanje najboljih učinaka u odnosu na raspoložive resurse.</w:t>
      </w:r>
    </w:p>
    <w:p w14:paraId="6958ED98" w14:textId="77777777" w:rsidR="005617E7" w:rsidRDefault="005617E7" w:rsidP="00AC1416">
      <w:pPr>
        <w:ind w:left="360"/>
        <w:jc w:val="both"/>
        <w:rPr>
          <w:rFonts w:cstheme="minorHAnsi"/>
          <w:b/>
          <w:bCs/>
        </w:rPr>
      </w:pPr>
    </w:p>
    <w:p w14:paraId="6D518677" w14:textId="4BAA8FBC" w:rsidR="00AC1416" w:rsidRPr="00B10F79" w:rsidRDefault="00AC1416" w:rsidP="00AC1416">
      <w:pPr>
        <w:ind w:left="360"/>
        <w:jc w:val="both"/>
        <w:rPr>
          <w:rFonts w:cstheme="minorHAnsi"/>
        </w:rPr>
      </w:pPr>
      <w:r w:rsidRPr="00B10F79">
        <w:rPr>
          <w:rFonts w:cstheme="minorHAnsi"/>
          <w:b/>
          <w:bCs/>
        </w:rPr>
        <w:t>Dodatni kriteriji kojima se pridaje važnost su sljedeći:</w:t>
      </w:r>
    </w:p>
    <w:p w14:paraId="6BA0678F" w14:textId="77777777" w:rsidR="00AC1416" w:rsidRPr="00B10F79" w:rsidRDefault="00AC1416" w:rsidP="00AC1416">
      <w:pPr>
        <w:numPr>
          <w:ilvl w:val="0"/>
          <w:numId w:val="16"/>
        </w:numPr>
        <w:jc w:val="both"/>
        <w:rPr>
          <w:rFonts w:cstheme="minorHAnsi"/>
        </w:rPr>
      </w:pPr>
      <w:r w:rsidRPr="00B10F79">
        <w:rPr>
          <w:rFonts w:cstheme="minorHAnsi"/>
          <w:b/>
          <w:bCs/>
        </w:rPr>
        <w:t xml:space="preserve">Komplementarnost – </w:t>
      </w:r>
      <w:r w:rsidRPr="00B10F79">
        <w:rPr>
          <w:rFonts w:cstheme="minorHAnsi"/>
        </w:rPr>
        <w:t xml:space="preserve">među-osnažujući utjecaj pojedinih elemenata strateškog okvira </w:t>
      </w:r>
    </w:p>
    <w:p w14:paraId="03B1BB2F" w14:textId="77777777" w:rsidR="00AC1416" w:rsidRPr="00B10F79" w:rsidRDefault="00AC1416" w:rsidP="00AC1416">
      <w:pPr>
        <w:numPr>
          <w:ilvl w:val="0"/>
          <w:numId w:val="16"/>
        </w:numPr>
        <w:jc w:val="both"/>
        <w:rPr>
          <w:rFonts w:cstheme="minorHAnsi"/>
        </w:rPr>
      </w:pPr>
      <w:r w:rsidRPr="00B10F79">
        <w:rPr>
          <w:rFonts w:cstheme="minorHAnsi"/>
          <w:b/>
          <w:bCs/>
        </w:rPr>
        <w:t>Koncentracija</w:t>
      </w:r>
      <w:r w:rsidRPr="00B10F79">
        <w:rPr>
          <w:rFonts w:cstheme="minorHAnsi"/>
        </w:rPr>
        <w:t xml:space="preserve"> </w:t>
      </w:r>
      <w:r>
        <w:rPr>
          <w:rFonts w:cstheme="minorHAnsi"/>
        </w:rPr>
        <w:t xml:space="preserve">– usredotočenost isključivo </w:t>
      </w:r>
      <w:r w:rsidRPr="00B10F79">
        <w:rPr>
          <w:rFonts w:cstheme="minorHAnsi"/>
        </w:rPr>
        <w:t xml:space="preserve">na ključno </w:t>
      </w:r>
    </w:p>
    <w:p w14:paraId="5466B2A5" w14:textId="77777777" w:rsidR="00AC1416" w:rsidRPr="00B10F79" w:rsidRDefault="00AC1416" w:rsidP="00AC1416">
      <w:pPr>
        <w:numPr>
          <w:ilvl w:val="0"/>
          <w:numId w:val="16"/>
        </w:numPr>
        <w:jc w:val="both"/>
        <w:rPr>
          <w:rFonts w:cstheme="minorHAnsi"/>
        </w:rPr>
      </w:pPr>
      <w:r w:rsidRPr="00B10F79">
        <w:rPr>
          <w:rFonts w:cstheme="minorHAnsi"/>
          <w:b/>
          <w:bCs/>
        </w:rPr>
        <w:lastRenderedPageBreak/>
        <w:t>Konzistentnos</w:t>
      </w:r>
      <w:r w:rsidRPr="00B10F79">
        <w:rPr>
          <w:rFonts w:cstheme="minorHAnsi"/>
        </w:rPr>
        <w:t>t</w:t>
      </w:r>
      <w:r>
        <w:rPr>
          <w:rFonts w:cstheme="minorHAnsi"/>
        </w:rPr>
        <w:t xml:space="preserve"> – </w:t>
      </w:r>
      <w:r w:rsidRPr="00B10F79">
        <w:rPr>
          <w:rFonts w:cstheme="minorHAnsi"/>
        </w:rPr>
        <w:t>nedvosmislenost</w:t>
      </w:r>
      <w:r>
        <w:rPr>
          <w:rFonts w:cstheme="minorHAnsi"/>
        </w:rPr>
        <w:t xml:space="preserve"> u iznošenju podataka i nalaza</w:t>
      </w:r>
    </w:p>
    <w:p w14:paraId="02E0431B" w14:textId="77777777" w:rsidR="00AC1416" w:rsidRPr="00122095" w:rsidRDefault="00AC1416" w:rsidP="00AC1416">
      <w:pPr>
        <w:numPr>
          <w:ilvl w:val="0"/>
          <w:numId w:val="16"/>
        </w:numPr>
        <w:jc w:val="both"/>
        <w:rPr>
          <w:rFonts w:cstheme="minorHAnsi"/>
        </w:rPr>
      </w:pPr>
      <w:r w:rsidRPr="00122095">
        <w:rPr>
          <w:rFonts w:cstheme="minorHAnsi"/>
          <w:b/>
          <w:bCs/>
        </w:rPr>
        <w:t>Jasnoća -</w:t>
      </w:r>
      <w:r w:rsidRPr="00122095">
        <w:rPr>
          <w:rFonts w:cstheme="minorHAnsi"/>
        </w:rPr>
        <w:t xml:space="preserve"> jednostavni, kratki, operativni i jasan </w:t>
      </w:r>
      <w:r>
        <w:rPr>
          <w:rFonts w:cstheme="minorHAnsi"/>
        </w:rPr>
        <w:t>stil pisanja</w:t>
      </w:r>
    </w:p>
    <w:p w14:paraId="3B411525" w14:textId="77777777" w:rsidR="00AC1416" w:rsidRPr="00AC1416" w:rsidRDefault="00AC1416" w:rsidP="0046158F">
      <w:pPr>
        <w:spacing w:before="100" w:beforeAutospacing="1" w:after="100" w:afterAutospacing="1"/>
        <w:ind w:firstLine="360"/>
        <w:rPr>
          <w:rFonts w:cstheme="minorHAnsi"/>
          <w:b/>
          <w:bCs/>
        </w:rPr>
      </w:pPr>
      <w:r w:rsidRPr="00AC1416">
        <w:rPr>
          <w:rFonts w:cstheme="minorHAnsi"/>
          <w:b/>
          <w:bCs/>
        </w:rPr>
        <w:t>Ključna evaluacijska pitanja</w:t>
      </w:r>
    </w:p>
    <w:p w14:paraId="4AD505FB" w14:textId="3EEBCD93" w:rsidR="00AC1416" w:rsidRDefault="00AC1416" w:rsidP="0046158F">
      <w:pPr>
        <w:spacing w:before="100" w:beforeAutospacing="1" w:after="100" w:afterAutospacing="1"/>
        <w:ind w:left="360"/>
        <w:rPr>
          <w:rFonts w:cstheme="minorHAnsi"/>
          <w:b/>
          <w:bCs/>
        </w:rPr>
      </w:pPr>
      <w:r w:rsidRPr="00B65C52">
        <w:rPr>
          <w:rFonts w:cstheme="minorHAnsi"/>
          <w:bCs/>
        </w:rPr>
        <w:t>U nastavku sl</w:t>
      </w:r>
      <w:r>
        <w:rPr>
          <w:rFonts w:cstheme="minorHAnsi"/>
          <w:bCs/>
        </w:rPr>
        <w:t>i</w:t>
      </w:r>
      <w:r w:rsidRPr="00B65C52">
        <w:rPr>
          <w:rFonts w:cstheme="minorHAnsi"/>
          <w:bCs/>
        </w:rPr>
        <w:t xml:space="preserve">jede evaluacijska pitanja </w:t>
      </w:r>
      <w:r>
        <w:rPr>
          <w:rFonts w:cstheme="minorHAnsi"/>
          <w:bCs/>
        </w:rPr>
        <w:t xml:space="preserve">koja su bila korištena </w:t>
      </w:r>
      <w:r w:rsidRPr="00B65C52">
        <w:rPr>
          <w:rFonts w:cstheme="minorHAnsi"/>
          <w:bCs/>
        </w:rPr>
        <w:t>u okviru nekoliko ključnih kriterija</w:t>
      </w:r>
      <w:r w:rsidRPr="00A77814">
        <w:rPr>
          <w:rFonts w:cstheme="minorHAnsi"/>
          <w:b/>
          <w:bCs/>
        </w:rPr>
        <w:t xml:space="preserve">. </w:t>
      </w:r>
    </w:p>
    <w:p w14:paraId="69534A58" w14:textId="77777777" w:rsidR="00AC1416" w:rsidRPr="005C5250" w:rsidRDefault="00AC1416" w:rsidP="0046158F">
      <w:pPr>
        <w:spacing w:before="100" w:beforeAutospacing="1" w:after="100" w:afterAutospacing="1"/>
        <w:ind w:firstLine="360"/>
        <w:rPr>
          <w:rFonts w:cstheme="minorHAnsi"/>
        </w:rPr>
      </w:pPr>
      <w:r w:rsidRPr="00B10F79">
        <w:rPr>
          <w:rFonts w:cstheme="minorHAnsi"/>
          <w:b/>
          <w:bCs/>
        </w:rPr>
        <w:t xml:space="preserve">Kriterij relevantnosti </w:t>
      </w:r>
    </w:p>
    <w:p w14:paraId="3B57FBD8" w14:textId="77777777" w:rsidR="00AC1416" w:rsidRPr="005C5250" w:rsidRDefault="00AC1416" w:rsidP="00C00A55">
      <w:pPr>
        <w:numPr>
          <w:ilvl w:val="0"/>
          <w:numId w:val="17"/>
        </w:numPr>
        <w:spacing w:before="100" w:beforeAutospacing="1" w:after="100" w:afterAutospacing="1"/>
        <w:jc w:val="both"/>
        <w:rPr>
          <w:rFonts w:cstheme="minorHAnsi"/>
        </w:rPr>
      </w:pPr>
      <w:r w:rsidRPr="005C5250">
        <w:rPr>
          <w:rFonts w:cstheme="minorHAnsi"/>
          <w:bCs/>
          <w:u w:val="single"/>
        </w:rPr>
        <w:t>Evaluacijsko pitanje 1</w:t>
      </w:r>
      <w:r w:rsidRPr="005C5250">
        <w:rPr>
          <w:rFonts w:cstheme="minorHAnsi"/>
          <w:bCs/>
        </w:rPr>
        <w:t xml:space="preserve">.: </w:t>
      </w:r>
      <w:r>
        <w:rPr>
          <w:rFonts w:cstheme="minorHAnsi"/>
        </w:rPr>
        <w:t>Je li</w:t>
      </w:r>
      <w:r w:rsidRPr="005C5250">
        <w:rPr>
          <w:rFonts w:cstheme="minorHAnsi"/>
        </w:rPr>
        <w:t xml:space="preserve"> analiza stanja potpuna i ukazuje li jasno na ključne razvojne probleme, </w:t>
      </w:r>
      <w:r w:rsidRPr="005C5250">
        <w:rPr>
          <w:rFonts w:cstheme="minorHAnsi"/>
          <w:bCs/>
        </w:rPr>
        <w:t>potrebe i potencijale</w:t>
      </w:r>
      <w:r w:rsidRPr="005C5250">
        <w:rPr>
          <w:rFonts w:cstheme="minorHAnsi"/>
        </w:rPr>
        <w:t>?</w:t>
      </w:r>
    </w:p>
    <w:p w14:paraId="39655A32" w14:textId="77777777" w:rsidR="00AC1416" w:rsidRPr="00B10F79" w:rsidRDefault="00AC1416" w:rsidP="0046158F">
      <w:pPr>
        <w:spacing w:before="100" w:beforeAutospacing="1" w:after="100" w:afterAutospacing="1"/>
        <w:ind w:firstLine="360"/>
        <w:rPr>
          <w:rFonts w:cstheme="minorHAnsi"/>
          <w:b/>
        </w:rPr>
      </w:pPr>
      <w:r w:rsidRPr="00B10F79">
        <w:rPr>
          <w:rFonts w:cstheme="minorHAnsi"/>
          <w:b/>
          <w:bCs/>
        </w:rPr>
        <w:t xml:space="preserve">Kriterij unutarnje usklađenosti/koherentnosti </w:t>
      </w:r>
    </w:p>
    <w:p w14:paraId="00420A02" w14:textId="163B2465" w:rsidR="00AC1416" w:rsidRPr="005C5250" w:rsidRDefault="00AC1416" w:rsidP="00C00A55">
      <w:pPr>
        <w:numPr>
          <w:ilvl w:val="0"/>
          <w:numId w:val="10"/>
        </w:numPr>
        <w:tabs>
          <w:tab w:val="clear" w:pos="360"/>
          <w:tab w:val="num" w:pos="720"/>
        </w:tabs>
        <w:spacing w:before="100" w:beforeAutospacing="1" w:after="100" w:afterAutospacing="1"/>
        <w:ind w:left="720"/>
        <w:jc w:val="both"/>
        <w:rPr>
          <w:rFonts w:cstheme="minorHAnsi"/>
        </w:rPr>
      </w:pPr>
      <w:r w:rsidRPr="005C5250">
        <w:rPr>
          <w:rFonts w:cstheme="minorHAnsi"/>
          <w:bCs/>
          <w:u w:val="single"/>
        </w:rPr>
        <w:t>Evaluacijsko pitanje 2</w:t>
      </w:r>
      <w:r w:rsidRPr="005C5250">
        <w:rPr>
          <w:rFonts w:cstheme="minorHAnsi"/>
          <w:bCs/>
        </w:rPr>
        <w:t xml:space="preserve">.: </w:t>
      </w:r>
      <w:r w:rsidRPr="005C5250">
        <w:rPr>
          <w:rFonts w:cstheme="minorHAnsi"/>
        </w:rPr>
        <w:t xml:space="preserve">Jesu li u Strategiji </w:t>
      </w:r>
      <w:r>
        <w:rPr>
          <w:rFonts w:cstheme="minorHAnsi"/>
        </w:rPr>
        <w:t>strateški ciljevi i provedbeni mehaniz</w:t>
      </w:r>
      <w:r w:rsidR="005617E7">
        <w:rPr>
          <w:rFonts w:cstheme="minorHAnsi"/>
        </w:rPr>
        <w:t>m</w:t>
      </w:r>
      <w:r>
        <w:rPr>
          <w:rFonts w:cstheme="minorHAnsi"/>
        </w:rPr>
        <w:t>i</w:t>
      </w:r>
      <w:r w:rsidRPr="005C5250">
        <w:rPr>
          <w:rFonts w:cstheme="minorHAnsi"/>
        </w:rPr>
        <w:t xml:space="preserve"> utvrđeni na logičan način? (</w:t>
      </w:r>
      <w:r>
        <w:rPr>
          <w:rFonts w:cstheme="minorHAnsi"/>
        </w:rPr>
        <w:t>J</w:t>
      </w:r>
      <w:r w:rsidRPr="005C5250">
        <w:rPr>
          <w:rFonts w:cstheme="minorHAnsi"/>
        </w:rPr>
        <w:t xml:space="preserve">e </w:t>
      </w:r>
      <w:r>
        <w:rPr>
          <w:rFonts w:cstheme="minorHAnsi"/>
        </w:rPr>
        <w:t xml:space="preserve">li </w:t>
      </w:r>
      <w:r w:rsidRPr="005C5250">
        <w:rPr>
          <w:rFonts w:cstheme="minorHAnsi"/>
        </w:rPr>
        <w:t xml:space="preserve">strateški okvir jasno povezan s utvrđenim potrebama? </w:t>
      </w:r>
      <w:r>
        <w:rPr>
          <w:rFonts w:cstheme="minorHAnsi"/>
        </w:rPr>
        <w:t>U</w:t>
      </w:r>
      <w:r w:rsidRPr="005C5250">
        <w:rPr>
          <w:rFonts w:cstheme="minorHAnsi"/>
        </w:rPr>
        <w:t>nutarnja interven</w:t>
      </w:r>
      <w:r w:rsidR="009462B2">
        <w:rPr>
          <w:rFonts w:cstheme="minorHAnsi"/>
        </w:rPr>
        <w:t xml:space="preserve">cijska </w:t>
      </w:r>
      <w:r w:rsidRPr="005C5250">
        <w:rPr>
          <w:rFonts w:cstheme="minorHAnsi"/>
        </w:rPr>
        <w:t xml:space="preserve">logika Strategije) </w:t>
      </w:r>
    </w:p>
    <w:p w14:paraId="00869A0A" w14:textId="77777777" w:rsidR="00AC1416" w:rsidRPr="00B10F79" w:rsidRDefault="00AC1416" w:rsidP="0046158F">
      <w:pPr>
        <w:spacing w:before="100" w:beforeAutospacing="1" w:after="100" w:afterAutospacing="1"/>
        <w:ind w:firstLine="360"/>
        <w:rPr>
          <w:rFonts w:cstheme="minorHAnsi"/>
          <w:b/>
        </w:rPr>
      </w:pPr>
      <w:r w:rsidRPr="00B10F79">
        <w:rPr>
          <w:rFonts w:cstheme="minorHAnsi"/>
          <w:b/>
          <w:bCs/>
        </w:rPr>
        <w:t>Kriterij vanjske usklađenosti/koherentnosti</w:t>
      </w:r>
    </w:p>
    <w:p w14:paraId="46D024A9" w14:textId="77777777" w:rsidR="00AC1416" w:rsidRPr="005C5250" w:rsidRDefault="00AC1416" w:rsidP="00C00A55">
      <w:pPr>
        <w:numPr>
          <w:ilvl w:val="0"/>
          <w:numId w:val="11"/>
        </w:numPr>
        <w:spacing w:before="100" w:beforeAutospacing="1" w:after="100" w:afterAutospacing="1"/>
        <w:jc w:val="both"/>
        <w:rPr>
          <w:rFonts w:cstheme="minorHAnsi"/>
        </w:rPr>
      </w:pPr>
      <w:r w:rsidRPr="005C5250">
        <w:rPr>
          <w:rFonts w:cstheme="minorHAnsi"/>
          <w:bCs/>
          <w:u w:val="single"/>
        </w:rPr>
        <w:t>Evaluacijsko pitanje 3.:</w:t>
      </w:r>
      <w:r w:rsidRPr="005C5250">
        <w:rPr>
          <w:rFonts w:cstheme="minorHAnsi"/>
          <w:bCs/>
        </w:rPr>
        <w:t xml:space="preserve"> </w:t>
      </w:r>
      <w:r w:rsidRPr="005C5250">
        <w:rPr>
          <w:rFonts w:cstheme="minorHAnsi"/>
        </w:rPr>
        <w:t xml:space="preserve">Kakva je usklađenost Strategije sa svim ključnim nadređenim (krovnim) strateškim dokumentima  na nacionalnoj i EU razini te s relevantnim sektorskim strategijama? </w:t>
      </w:r>
    </w:p>
    <w:p w14:paraId="3A1B43FE" w14:textId="77777777" w:rsidR="00AC1416" w:rsidRPr="006F651F" w:rsidRDefault="00AC1416" w:rsidP="0046158F">
      <w:pPr>
        <w:spacing w:before="100" w:beforeAutospacing="1" w:after="100" w:afterAutospacing="1"/>
        <w:ind w:firstLine="360"/>
        <w:rPr>
          <w:rFonts w:cstheme="minorHAnsi"/>
          <w:b/>
        </w:rPr>
      </w:pPr>
      <w:r w:rsidRPr="006F651F">
        <w:rPr>
          <w:rFonts w:cstheme="minorHAnsi"/>
          <w:b/>
          <w:bCs/>
        </w:rPr>
        <w:t>Kriterij učinkovitosti/efektivnosti</w:t>
      </w:r>
    </w:p>
    <w:p w14:paraId="430C4934" w14:textId="77777777" w:rsidR="00AC1416" w:rsidRPr="00EC18EA" w:rsidRDefault="00AC1416" w:rsidP="00C00A55">
      <w:pPr>
        <w:numPr>
          <w:ilvl w:val="0"/>
          <w:numId w:val="12"/>
        </w:numPr>
        <w:spacing w:before="100" w:beforeAutospacing="1" w:after="100" w:afterAutospacing="1"/>
        <w:jc w:val="both"/>
        <w:rPr>
          <w:rFonts w:cstheme="minorHAnsi"/>
        </w:rPr>
      </w:pPr>
      <w:r w:rsidRPr="005C5250">
        <w:rPr>
          <w:rFonts w:cstheme="minorHAnsi"/>
          <w:bCs/>
          <w:u w:val="single"/>
        </w:rPr>
        <w:t>Evaluacijsko pitanje 4</w:t>
      </w:r>
      <w:r w:rsidRPr="005C5250">
        <w:rPr>
          <w:rFonts w:cstheme="minorHAnsi"/>
        </w:rPr>
        <w:t>.: Predstavljaju li u Strategiji predloženi strateški ciljevi i provedbeni mehanizmi najbolji način rješavanja razvojnih potreba u sektoru biogospodarstva?</w:t>
      </w:r>
    </w:p>
    <w:p w14:paraId="4961393D" w14:textId="77777777" w:rsidR="00AC1416" w:rsidRPr="005C5250" w:rsidRDefault="00AC1416" w:rsidP="00C00A55">
      <w:pPr>
        <w:numPr>
          <w:ilvl w:val="0"/>
          <w:numId w:val="12"/>
        </w:numPr>
        <w:spacing w:before="100" w:beforeAutospacing="1" w:after="100" w:afterAutospacing="1"/>
        <w:jc w:val="both"/>
        <w:rPr>
          <w:rFonts w:cstheme="minorHAnsi"/>
        </w:rPr>
      </w:pPr>
      <w:r w:rsidRPr="005C5250">
        <w:rPr>
          <w:rFonts w:cstheme="minorHAnsi"/>
          <w:bCs/>
          <w:u w:val="single"/>
        </w:rPr>
        <w:t>Evaluacijsko pitanje 5</w:t>
      </w:r>
      <w:r w:rsidRPr="005C5250">
        <w:rPr>
          <w:rFonts w:cstheme="minorHAnsi"/>
          <w:bCs/>
        </w:rPr>
        <w:t xml:space="preserve">.: </w:t>
      </w:r>
      <w:r w:rsidRPr="005C5250">
        <w:rPr>
          <w:rFonts w:cstheme="minorHAnsi"/>
        </w:rPr>
        <w:t>Jesu li su svi ključni dionici  konzultirani i uključeni u pripremu Strategije na adekvatan način?</w:t>
      </w:r>
    </w:p>
    <w:p w14:paraId="31DDC1D6" w14:textId="77777777" w:rsidR="00AC1416" w:rsidRPr="006F651F" w:rsidRDefault="00AC1416" w:rsidP="0046158F">
      <w:pPr>
        <w:spacing w:before="100" w:beforeAutospacing="1" w:after="100" w:afterAutospacing="1"/>
        <w:ind w:firstLine="360"/>
        <w:rPr>
          <w:rFonts w:cstheme="minorHAnsi"/>
          <w:b/>
        </w:rPr>
      </w:pPr>
      <w:r w:rsidRPr="006F651F">
        <w:rPr>
          <w:rFonts w:cstheme="minorHAnsi"/>
          <w:b/>
          <w:bCs/>
        </w:rPr>
        <w:t xml:space="preserve">Kriterij djelotvornosti/efikasnosti </w:t>
      </w:r>
    </w:p>
    <w:p w14:paraId="2361FF11" w14:textId="773A5A50" w:rsidR="00AC1416" w:rsidRPr="005C5250" w:rsidRDefault="00AC1416" w:rsidP="00C00A55">
      <w:pPr>
        <w:numPr>
          <w:ilvl w:val="0"/>
          <w:numId w:val="13"/>
        </w:numPr>
        <w:spacing w:before="100" w:beforeAutospacing="1" w:after="100" w:afterAutospacing="1"/>
        <w:jc w:val="both"/>
        <w:rPr>
          <w:rFonts w:cstheme="minorHAnsi"/>
        </w:rPr>
      </w:pPr>
      <w:r w:rsidRPr="002B251D">
        <w:rPr>
          <w:rFonts w:cstheme="minorHAnsi"/>
          <w:bCs/>
          <w:u w:val="single"/>
        </w:rPr>
        <w:t>Evaluacijsko pitanje 6.</w:t>
      </w:r>
      <w:r w:rsidRPr="002B251D">
        <w:rPr>
          <w:rFonts w:cstheme="minorHAnsi"/>
          <w:bCs/>
        </w:rPr>
        <w:t>:</w:t>
      </w:r>
      <w:r w:rsidRPr="005C5250">
        <w:rPr>
          <w:rFonts w:cstheme="minorHAnsi"/>
          <w:bCs/>
        </w:rPr>
        <w:t xml:space="preserve"> </w:t>
      </w:r>
      <w:r w:rsidRPr="005C5250">
        <w:rPr>
          <w:rFonts w:cstheme="minorHAnsi"/>
        </w:rPr>
        <w:t>Jesu li financijski, institucionalni i ljudski resursi predviđeni za provedbu Strategije jasno identificirani i dovoljni za provedbu? (</w:t>
      </w:r>
      <w:r>
        <w:rPr>
          <w:rFonts w:cstheme="minorHAnsi"/>
        </w:rPr>
        <w:t>J</w:t>
      </w:r>
      <w:r w:rsidRPr="005C5250">
        <w:rPr>
          <w:rFonts w:cstheme="minorHAnsi"/>
        </w:rPr>
        <w:t>e li  institucionalni sustav za provedbu Strategije  kvalitetno osposobljen i adekvatan?)</w:t>
      </w:r>
    </w:p>
    <w:p w14:paraId="4228644B" w14:textId="77777777" w:rsidR="00AC1416" w:rsidRDefault="00AC1416" w:rsidP="00AC1416">
      <w:pPr>
        <w:pStyle w:val="box460819"/>
        <w:spacing w:before="0" w:beforeAutospacing="0" w:after="160" w:afterAutospacing="0" w:line="259" w:lineRule="auto"/>
        <w:jc w:val="both"/>
        <w:rPr>
          <w:rFonts w:asciiTheme="minorHAnsi" w:hAnsiTheme="minorHAnsi" w:cstheme="minorHAnsi"/>
          <w:b/>
          <w:sz w:val="22"/>
          <w:szCs w:val="22"/>
          <w:u w:val="single"/>
        </w:rPr>
      </w:pPr>
    </w:p>
    <w:p w14:paraId="174A9B2A" w14:textId="0B5A1D96" w:rsidR="006F5DBB" w:rsidRPr="0046158F" w:rsidRDefault="00AC1416" w:rsidP="00AC1416">
      <w:pPr>
        <w:pStyle w:val="box460819"/>
        <w:spacing w:before="0" w:beforeAutospacing="0" w:after="160" w:afterAutospacing="0" w:line="259" w:lineRule="auto"/>
        <w:jc w:val="both"/>
        <w:rPr>
          <w:rFonts w:asciiTheme="majorHAnsi" w:hAnsiTheme="majorHAnsi" w:cstheme="majorHAnsi"/>
          <w:b/>
          <w:color w:val="0070C0"/>
          <w:u w:val="single"/>
        </w:rPr>
      </w:pPr>
      <w:r w:rsidRPr="0046158F">
        <w:rPr>
          <w:rFonts w:asciiTheme="majorHAnsi" w:hAnsiTheme="majorHAnsi" w:cstheme="majorHAnsi"/>
          <w:b/>
          <w:color w:val="0070C0"/>
          <w:u w:val="single"/>
        </w:rPr>
        <w:t>Opis provedbe postupka vrednovanja</w:t>
      </w:r>
    </w:p>
    <w:p w14:paraId="242F56A7" w14:textId="6438AE09" w:rsidR="006F5DBB" w:rsidRPr="00A57B68" w:rsidRDefault="006F5DBB" w:rsidP="006F5DBB">
      <w:pPr>
        <w:spacing w:before="120" w:after="120" w:line="276" w:lineRule="auto"/>
        <w:ind w:left="720"/>
        <w:jc w:val="both"/>
        <w:rPr>
          <w:rFonts w:cstheme="minorHAnsi"/>
        </w:rPr>
      </w:pPr>
      <w:r w:rsidRPr="000777A8">
        <w:rPr>
          <w:rFonts w:cstheme="minorHAnsi"/>
        </w:rPr>
        <w:t xml:space="preserve">Slijedom </w:t>
      </w:r>
      <w:r>
        <w:rPr>
          <w:rFonts w:cstheme="minorHAnsi"/>
        </w:rPr>
        <w:t>pretho</w:t>
      </w:r>
      <w:r w:rsidRPr="00A87CF4">
        <w:rPr>
          <w:rFonts w:cstheme="minorHAnsi"/>
        </w:rPr>
        <w:t xml:space="preserve">dno spomenutog vezano za postupak vrednovanja, vrednovanje </w:t>
      </w:r>
      <w:r w:rsidR="00B87D94" w:rsidRPr="00B87D94">
        <w:rPr>
          <w:rFonts w:cstheme="minorHAnsi"/>
        </w:rPr>
        <w:t>Nacrta</w:t>
      </w:r>
      <w:r w:rsidR="00B87D94" w:rsidRPr="00154905">
        <w:rPr>
          <w:rFonts w:cstheme="minorHAnsi"/>
        </w:rPr>
        <w:t xml:space="preserve"> </w:t>
      </w:r>
      <w:r w:rsidR="00A87CF4" w:rsidRPr="00A87CF4">
        <w:rPr>
          <w:rFonts w:cstheme="minorHAnsi"/>
        </w:rPr>
        <w:t>Strategije se nije</w:t>
      </w:r>
      <w:r w:rsidRPr="00A87CF4">
        <w:rPr>
          <w:rFonts w:cstheme="minorHAnsi"/>
        </w:rPr>
        <w:t xml:space="preserve"> provodi</w:t>
      </w:r>
      <w:r w:rsidR="00A87CF4" w:rsidRPr="00A87CF4">
        <w:rPr>
          <w:rFonts w:cstheme="minorHAnsi"/>
        </w:rPr>
        <w:t>lo</w:t>
      </w:r>
      <w:r w:rsidRPr="00A87CF4">
        <w:rPr>
          <w:rFonts w:cstheme="minorHAnsi"/>
        </w:rPr>
        <w:t xml:space="preserve"> prema uobičajenom postupku vrednovanja po „fazama“ izrade </w:t>
      </w:r>
      <w:r w:rsidR="00B87D94" w:rsidRPr="00B87D94">
        <w:rPr>
          <w:rFonts w:cstheme="minorHAnsi"/>
        </w:rPr>
        <w:t>Nacrta</w:t>
      </w:r>
      <w:r w:rsidR="00B87D94" w:rsidRPr="00154905">
        <w:rPr>
          <w:rFonts w:cstheme="minorHAnsi"/>
        </w:rPr>
        <w:t xml:space="preserve"> </w:t>
      </w:r>
      <w:r w:rsidRPr="00A87CF4">
        <w:rPr>
          <w:rFonts w:cstheme="minorHAnsi"/>
        </w:rPr>
        <w:t xml:space="preserve">Strategije, već, razmatrajući zaprimljen nacrt „unatrag“, kroz primjenu evaluacijskih kriterija i evaluacijskih pitanja. </w:t>
      </w:r>
    </w:p>
    <w:p w14:paraId="471C0794" w14:textId="77777777" w:rsidR="006F5DBB" w:rsidRDefault="006F5DBB" w:rsidP="006F5DBB">
      <w:pPr>
        <w:spacing w:before="120" w:after="120" w:line="276" w:lineRule="auto"/>
        <w:jc w:val="both"/>
        <w:rPr>
          <w:rFonts w:cstheme="minorHAnsi"/>
          <w:u w:val="single"/>
        </w:rPr>
      </w:pPr>
    </w:p>
    <w:p w14:paraId="195B9A7A" w14:textId="1D32C6BB" w:rsidR="006F5DBB" w:rsidRPr="0097497C" w:rsidRDefault="006F5DBB" w:rsidP="006F5DBB">
      <w:pPr>
        <w:spacing w:before="120" w:after="120" w:line="276" w:lineRule="auto"/>
        <w:ind w:firstLine="720"/>
        <w:jc w:val="both"/>
        <w:rPr>
          <w:rFonts w:cstheme="minorHAnsi"/>
          <w:b/>
        </w:rPr>
      </w:pPr>
      <w:r w:rsidRPr="00AC1416">
        <w:rPr>
          <w:rFonts w:cstheme="minorHAnsi"/>
          <w:b/>
        </w:rPr>
        <w:t>Ključni koraci u</w:t>
      </w:r>
      <w:r w:rsidRPr="0097497C">
        <w:rPr>
          <w:rFonts w:cstheme="minorHAnsi"/>
          <w:b/>
        </w:rPr>
        <w:t xml:space="preserve"> realizaciji vrednovanja </w:t>
      </w:r>
      <w:r>
        <w:rPr>
          <w:rFonts w:cstheme="minorHAnsi"/>
          <w:b/>
        </w:rPr>
        <w:t xml:space="preserve"> </w:t>
      </w:r>
      <w:r w:rsidR="00A87CF4">
        <w:rPr>
          <w:rFonts w:cstheme="minorHAnsi"/>
          <w:b/>
        </w:rPr>
        <w:t xml:space="preserve">bili </w:t>
      </w:r>
      <w:r w:rsidRPr="0097497C">
        <w:rPr>
          <w:rFonts w:cstheme="minorHAnsi"/>
          <w:b/>
        </w:rPr>
        <w:t>su sljedeći:</w:t>
      </w:r>
    </w:p>
    <w:p w14:paraId="6A41E866" w14:textId="6D7988CD" w:rsidR="006F5DBB" w:rsidRPr="00A57B68" w:rsidRDefault="006F5DBB" w:rsidP="009D0757">
      <w:pPr>
        <w:pStyle w:val="Odlomakpopisa"/>
        <w:numPr>
          <w:ilvl w:val="0"/>
          <w:numId w:val="4"/>
        </w:numPr>
        <w:spacing w:before="120" w:after="120" w:line="276" w:lineRule="auto"/>
        <w:jc w:val="both"/>
        <w:rPr>
          <w:rFonts w:cstheme="minorHAnsi"/>
        </w:rPr>
      </w:pPr>
      <w:r w:rsidRPr="00263287">
        <w:rPr>
          <w:rFonts w:cstheme="minorHAnsi"/>
          <w:b/>
        </w:rPr>
        <w:t xml:space="preserve">Provjera metodologije izrade </w:t>
      </w:r>
      <w:r w:rsidR="00B87D94" w:rsidRPr="00B87D94">
        <w:rPr>
          <w:rFonts w:cstheme="minorHAnsi"/>
          <w:b/>
        </w:rPr>
        <w:t xml:space="preserve">Nacrta </w:t>
      </w:r>
      <w:r w:rsidRPr="00B87D94">
        <w:rPr>
          <w:rFonts w:cstheme="minorHAnsi"/>
          <w:b/>
        </w:rPr>
        <w:t>Strategije</w:t>
      </w:r>
      <w:r w:rsidRPr="00263287">
        <w:rPr>
          <w:rFonts w:cstheme="minorHAnsi"/>
          <w:b/>
        </w:rPr>
        <w:t xml:space="preserve"> u odnosu na </w:t>
      </w:r>
      <w:r w:rsidRPr="008E5A42">
        <w:rPr>
          <w:rFonts w:cstheme="minorHAnsi"/>
          <w:bCs/>
          <w:iCs/>
        </w:rPr>
        <w:t>Pravilnik o provedbi postupka vrednovanja akata strateškog planiranja od nacionalnog značaja i od značaja za jedinice lokalne i područne (regionalne) samouprave</w:t>
      </w:r>
      <w:r w:rsidRPr="00A57B68">
        <w:rPr>
          <w:rFonts w:cstheme="minorHAnsi"/>
        </w:rPr>
        <w:t>;</w:t>
      </w:r>
    </w:p>
    <w:p w14:paraId="7D7D8617" w14:textId="77777777" w:rsidR="006F5DBB" w:rsidRPr="00A57B68" w:rsidRDefault="006F5DBB" w:rsidP="009D0757">
      <w:pPr>
        <w:pStyle w:val="Odlomakpopisa"/>
        <w:numPr>
          <w:ilvl w:val="0"/>
          <w:numId w:val="4"/>
        </w:numPr>
        <w:spacing w:before="120" w:after="120" w:line="276" w:lineRule="auto"/>
        <w:jc w:val="both"/>
        <w:rPr>
          <w:rFonts w:cstheme="minorHAnsi"/>
        </w:rPr>
      </w:pPr>
      <w:r w:rsidRPr="00263287">
        <w:rPr>
          <w:rFonts w:cstheme="minorHAnsi"/>
          <w:b/>
        </w:rPr>
        <w:t xml:space="preserve">Ocjena kvalitete </w:t>
      </w:r>
      <w:r>
        <w:rPr>
          <w:rFonts w:cstheme="minorHAnsi"/>
          <w:b/>
        </w:rPr>
        <w:t>a</w:t>
      </w:r>
      <w:r w:rsidRPr="00263287">
        <w:rPr>
          <w:rFonts w:cstheme="minorHAnsi"/>
          <w:b/>
        </w:rPr>
        <w:t>nalize stanja, SWOT analize</w:t>
      </w:r>
      <w:r>
        <w:rPr>
          <w:rFonts w:cstheme="minorHAnsi"/>
          <w:b/>
        </w:rPr>
        <w:t xml:space="preserve"> </w:t>
      </w:r>
      <w:r w:rsidRPr="00263287">
        <w:rPr>
          <w:rFonts w:cstheme="minorHAnsi"/>
          <w:b/>
        </w:rPr>
        <w:t>te identificiranih razvojnih  potencijala</w:t>
      </w:r>
      <w:r>
        <w:rPr>
          <w:rFonts w:cstheme="minorHAnsi"/>
          <w:b/>
        </w:rPr>
        <w:t xml:space="preserve"> i potreba </w:t>
      </w:r>
      <w:r w:rsidRPr="00A57B68">
        <w:rPr>
          <w:rFonts w:cstheme="minorHAnsi"/>
        </w:rPr>
        <w:t xml:space="preserve"> kao osnove za izradu strateškog</w:t>
      </w:r>
      <w:r>
        <w:rPr>
          <w:rFonts w:cstheme="minorHAnsi"/>
        </w:rPr>
        <w:t xml:space="preserve"> </w:t>
      </w:r>
      <w:r w:rsidRPr="00A57B68">
        <w:rPr>
          <w:rFonts w:cstheme="minorHAnsi"/>
        </w:rPr>
        <w:t>okvira;</w:t>
      </w:r>
    </w:p>
    <w:p w14:paraId="538E15EB" w14:textId="7FCD9784" w:rsidR="006F5DBB" w:rsidRPr="00263287" w:rsidRDefault="006F5DBB" w:rsidP="009D0757">
      <w:pPr>
        <w:pStyle w:val="Odlomakpopisa"/>
        <w:numPr>
          <w:ilvl w:val="0"/>
          <w:numId w:val="4"/>
        </w:numPr>
        <w:spacing w:before="120" w:after="120" w:line="276" w:lineRule="auto"/>
        <w:jc w:val="both"/>
        <w:rPr>
          <w:rFonts w:cstheme="minorHAnsi"/>
          <w:b/>
        </w:rPr>
      </w:pPr>
      <w:r w:rsidRPr="00D07963">
        <w:rPr>
          <w:rFonts w:cstheme="minorHAnsi"/>
          <w:b/>
          <w:bCs/>
        </w:rPr>
        <w:t>Ocjena intervencijske logike</w:t>
      </w:r>
      <w:r w:rsidRPr="00A57B68">
        <w:rPr>
          <w:rFonts w:cstheme="minorHAnsi"/>
        </w:rPr>
        <w:t xml:space="preserve"> te</w:t>
      </w:r>
      <w:r>
        <w:rPr>
          <w:rFonts w:cstheme="minorHAnsi"/>
        </w:rPr>
        <w:t xml:space="preserve"> </w:t>
      </w:r>
      <w:r w:rsidRPr="00A57B68">
        <w:rPr>
          <w:rFonts w:cstheme="minorHAnsi"/>
        </w:rPr>
        <w:t xml:space="preserve">provjera </w:t>
      </w:r>
      <w:r w:rsidR="00A87CF4">
        <w:rPr>
          <w:rFonts w:cstheme="minorHAnsi"/>
        </w:rPr>
        <w:t>jesu</w:t>
      </w:r>
      <w:r w:rsidRPr="00A57B68">
        <w:rPr>
          <w:rFonts w:cstheme="minorHAnsi"/>
        </w:rPr>
        <w:t xml:space="preserve"> li su ciljevi postavljeni na logičan način,</w:t>
      </w:r>
      <w:r>
        <w:rPr>
          <w:rFonts w:cstheme="minorHAnsi"/>
        </w:rPr>
        <w:t xml:space="preserve"> </w:t>
      </w:r>
      <w:r>
        <w:t>utemeljeni u analizi stanja, hrvatskim razvojnim smjerovima na nacionalnoj razini te europskim i globalnim smjernicama relevantnim za područje biogospodarstva;</w:t>
      </w:r>
      <w:r w:rsidRPr="00A57B68">
        <w:rPr>
          <w:rFonts w:cstheme="minorHAnsi"/>
        </w:rPr>
        <w:t xml:space="preserve"> provjera hijerarhije ciljeva te jasnoće oček</w:t>
      </w:r>
      <w:r>
        <w:rPr>
          <w:rFonts w:cstheme="minorHAnsi"/>
        </w:rPr>
        <w:t>ivanih rezultata</w:t>
      </w:r>
      <w:r w:rsidR="001A0D91">
        <w:rPr>
          <w:rFonts w:cstheme="minorHAnsi"/>
        </w:rPr>
        <w:t>;</w:t>
      </w:r>
    </w:p>
    <w:p w14:paraId="0CEBB210" w14:textId="77777777" w:rsidR="006F5DBB" w:rsidRPr="00A57B68" w:rsidRDefault="006F5DBB" w:rsidP="009D0757">
      <w:pPr>
        <w:pStyle w:val="Odlomakpopisa"/>
        <w:numPr>
          <w:ilvl w:val="0"/>
          <w:numId w:val="4"/>
        </w:numPr>
        <w:spacing w:before="120" w:after="120" w:line="276" w:lineRule="auto"/>
        <w:jc w:val="both"/>
        <w:rPr>
          <w:rFonts w:cstheme="minorHAnsi"/>
        </w:rPr>
      </w:pPr>
      <w:r w:rsidRPr="00263287">
        <w:rPr>
          <w:rFonts w:cstheme="minorHAnsi"/>
          <w:b/>
        </w:rPr>
        <w:t>Ocjena utvrđenih mjerljivih pokazatelja učinka provedbe strateških ciljeva</w:t>
      </w:r>
      <w:r>
        <w:rPr>
          <w:rFonts w:cstheme="minorHAnsi"/>
          <w:b/>
        </w:rPr>
        <w:t>;</w:t>
      </w:r>
      <w:r>
        <w:rPr>
          <w:rFonts w:cstheme="minorHAnsi"/>
        </w:rPr>
        <w:t xml:space="preserve"> </w:t>
      </w:r>
    </w:p>
    <w:p w14:paraId="491AD38C" w14:textId="6A821223" w:rsidR="006F5DBB" w:rsidRPr="00A57B68" w:rsidRDefault="006F5DBB" w:rsidP="009D0757">
      <w:pPr>
        <w:pStyle w:val="Odlomakpopisa"/>
        <w:numPr>
          <w:ilvl w:val="0"/>
          <w:numId w:val="4"/>
        </w:numPr>
        <w:spacing w:before="120" w:after="120" w:line="276" w:lineRule="auto"/>
        <w:jc w:val="both"/>
        <w:rPr>
          <w:rFonts w:cstheme="minorHAnsi"/>
        </w:rPr>
      </w:pPr>
      <w:r w:rsidRPr="00D07963">
        <w:rPr>
          <w:rFonts w:cstheme="minorHAnsi"/>
          <w:b/>
          <w:bCs/>
        </w:rPr>
        <w:t>Procjena kvalitete konzultacijskog procesa</w:t>
      </w:r>
      <w:r w:rsidRPr="00A57B68">
        <w:rPr>
          <w:rFonts w:cstheme="minorHAnsi"/>
        </w:rPr>
        <w:t xml:space="preserve"> – ocjena raz</w:t>
      </w:r>
      <w:r>
        <w:rPr>
          <w:rFonts w:cstheme="minorHAnsi"/>
        </w:rPr>
        <w:t>i</w:t>
      </w:r>
      <w:r w:rsidRPr="00A57B68">
        <w:rPr>
          <w:rFonts w:cstheme="minorHAnsi"/>
        </w:rPr>
        <w:t>ne uključenosti svih relevant</w:t>
      </w:r>
      <w:r>
        <w:rPr>
          <w:rFonts w:cstheme="minorHAnsi"/>
        </w:rPr>
        <w:t xml:space="preserve">nih dionika </w:t>
      </w:r>
      <w:r w:rsidRPr="00A57B68">
        <w:rPr>
          <w:rFonts w:cstheme="minorHAnsi"/>
        </w:rPr>
        <w:t>u o</w:t>
      </w:r>
      <w:r>
        <w:rPr>
          <w:rFonts w:cstheme="minorHAnsi"/>
        </w:rPr>
        <w:t xml:space="preserve">dlučivanje tijekom procesa izrade </w:t>
      </w:r>
      <w:r w:rsidR="00B87D94" w:rsidRPr="00B87D94">
        <w:rPr>
          <w:rFonts w:cstheme="minorHAnsi"/>
        </w:rPr>
        <w:t>Nacrta</w:t>
      </w:r>
      <w:r w:rsidR="00B87D94" w:rsidRPr="00154905">
        <w:rPr>
          <w:rFonts w:cstheme="minorHAnsi"/>
        </w:rPr>
        <w:t xml:space="preserve"> </w:t>
      </w:r>
      <w:r>
        <w:rPr>
          <w:rFonts w:cstheme="minorHAnsi"/>
        </w:rPr>
        <w:t xml:space="preserve">Strategije </w:t>
      </w:r>
      <w:r w:rsidRPr="00A57B68">
        <w:rPr>
          <w:rFonts w:cstheme="minorHAnsi"/>
        </w:rPr>
        <w:t>te ocjena stvarnog doprinosa dionika/partnera prilikom njihove izrade;</w:t>
      </w:r>
    </w:p>
    <w:p w14:paraId="1DEB4640" w14:textId="1AFEB7B0" w:rsidR="006F5DBB" w:rsidRPr="00A87CF4" w:rsidRDefault="006F5DBB" w:rsidP="009D0757">
      <w:pPr>
        <w:pStyle w:val="Odlomakpopisa"/>
        <w:numPr>
          <w:ilvl w:val="0"/>
          <w:numId w:val="4"/>
        </w:numPr>
        <w:jc w:val="both"/>
        <w:rPr>
          <w:rFonts w:cstheme="minorHAnsi"/>
        </w:rPr>
      </w:pPr>
      <w:r w:rsidRPr="00D07963">
        <w:rPr>
          <w:rFonts w:cstheme="minorHAnsi"/>
          <w:b/>
          <w:bCs/>
        </w:rPr>
        <w:t>Ocjena (sugestije za poboljšanje)</w:t>
      </w:r>
      <w:r w:rsidRPr="00A87CF4">
        <w:rPr>
          <w:rFonts w:cstheme="minorHAnsi"/>
        </w:rPr>
        <w:t xml:space="preserve"> svih poglavlja </w:t>
      </w:r>
      <w:r w:rsidR="00B87D94" w:rsidRPr="00B87D94">
        <w:rPr>
          <w:rFonts w:cstheme="minorHAnsi"/>
        </w:rPr>
        <w:t>Nacrta</w:t>
      </w:r>
      <w:r w:rsidR="00B87D94" w:rsidRPr="00154905">
        <w:rPr>
          <w:rFonts w:cstheme="minorHAnsi"/>
        </w:rPr>
        <w:t xml:space="preserve"> </w:t>
      </w:r>
      <w:r w:rsidRPr="00A87CF4">
        <w:rPr>
          <w:rFonts w:cstheme="minorHAnsi"/>
        </w:rPr>
        <w:t>Strategije</w:t>
      </w:r>
      <w:r w:rsidR="001A0D91">
        <w:rPr>
          <w:rFonts w:cstheme="minorHAnsi"/>
        </w:rPr>
        <w:t>.</w:t>
      </w:r>
    </w:p>
    <w:p w14:paraId="62B71FD7" w14:textId="77777777" w:rsidR="00AC1416" w:rsidRDefault="00AC1416" w:rsidP="006F5DBB">
      <w:pPr>
        <w:pStyle w:val="box460819"/>
        <w:spacing w:before="0" w:beforeAutospacing="0" w:after="160" w:afterAutospacing="0" w:line="259" w:lineRule="auto"/>
        <w:ind w:left="720"/>
        <w:jc w:val="both"/>
        <w:rPr>
          <w:rFonts w:asciiTheme="minorHAnsi" w:hAnsiTheme="minorHAnsi" w:cstheme="minorHAnsi"/>
          <w:b/>
          <w:sz w:val="22"/>
          <w:szCs w:val="22"/>
        </w:rPr>
      </w:pPr>
    </w:p>
    <w:p w14:paraId="65F2D80B" w14:textId="229C56B5" w:rsidR="006F5DBB" w:rsidRPr="00AC1416" w:rsidRDefault="006F5DBB" w:rsidP="006F5DBB">
      <w:pPr>
        <w:pStyle w:val="box460819"/>
        <w:spacing w:before="0" w:beforeAutospacing="0" w:after="160" w:afterAutospacing="0" w:line="259" w:lineRule="auto"/>
        <w:ind w:left="720"/>
        <w:jc w:val="both"/>
        <w:rPr>
          <w:rFonts w:asciiTheme="minorHAnsi" w:hAnsiTheme="minorHAnsi" w:cstheme="minorHAnsi"/>
          <w:b/>
          <w:i/>
          <w:sz w:val="22"/>
          <w:szCs w:val="22"/>
        </w:rPr>
      </w:pPr>
      <w:r w:rsidRPr="00AC1416">
        <w:rPr>
          <w:rFonts w:asciiTheme="minorHAnsi" w:hAnsiTheme="minorHAnsi" w:cstheme="minorHAnsi"/>
          <w:b/>
          <w:sz w:val="22"/>
          <w:szCs w:val="22"/>
        </w:rPr>
        <w:t>Metode vrednovanja</w:t>
      </w:r>
    </w:p>
    <w:p w14:paraId="1787CF36" w14:textId="2424A1DF" w:rsidR="006F5DBB" w:rsidRDefault="00D07963" w:rsidP="00D07963">
      <w:pPr>
        <w:spacing w:after="120" w:line="276" w:lineRule="auto"/>
        <w:ind w:left="720"/>
        <w:jc w:val="both"/>
        <w:rPr>
          <w:rFonts w:eastAsiaTheme="minorEastAsia" w:cstheme="minorHAnsi"/>
          <w:color w:val="222222"/>
          <w:lang w:eastAsia="en-GB"/>
        </w:rPr>
      </w:pPr>
      <w:r>
        <w:rPr>
          <w:rFonts w:eastAsiaTheme="minorEastAsia" w:cstheme="minorHAnsi"/>
          <w:color w:val="222222"/>
          <w:lang w:eastAsia="en-GB"/>
        </w:rPr>
        <w:t>Pristup u realizaciji</w:t>
      </w:r>
      <w:r w:rsidR="006F5DBB">
        <w:rPr>
          <w:rFonts w:eastAsiaTheme="minorEastAsia" w:cstheme="minorHAnsi"/>
          <w:color w:val="222222"/>
          <w:lang w:eastAsia="en-GB"/>
        </w:rPr>
        <w:t xml:space="preserve"> vrednovanja zahtijeva primjenu metoda i alata vezanih uz n</w:t>
      </w:r>
      <w:r w:rsidR="006F5DBB" w:rsidRPr="00A57B68">
        <w:rPr>
          <w:rFonts w:eastAsiaTheme="minorEastAsia" w:cstheme="minorHAnsi"/>
          <w:color w:val="222222"/>
          <w:lang w:eastAsia="en-GB"/>
        </w:rPr>
        <w:t>ačela</w:t>
      </w:r>
      <w:r w:rsidR="006F5DBB">
        <w:rPr>
          <w:rFonts w:eastAsiaTheme="minorEastAsia" w:cstheme="minorHAnsi"/>
          <w:color w:val="222222"/>
          <w:lang w:eastAsia="en-GB"/>
        </w:rPr>
        <w:t xml:space="preserve"> vrednovanja. Njihova primjena omogućava da rezultati vrednovanja budu nepristrani te da omogućavaju ispunjavanje svrhe vrednovanja. Kako bi se to postiglo, uobičajeno je </w:t>
      </w:r>
      <w:r w:rsidR="006F5DBB" w:rsidRPr="00A57B68">
        <w:rPr>
          <w:rFonts w:eastAsiaTheme="minorEastAsia" w:cstheme="minorHAnsi"/>
          <w:color w:val="222222"/>
          <w:lang w:eastAsia="en-GB"/>
        </w:rPr>
        <w:t xml:space="preserve">korištenje kvantitativnih i kvalitativnih metoda. </w:t>
      </w:r>
    </w:p>
    <w:p w14:paraId="50251BFD" w14:textId="38D98ECA" w:rsidR="006F5DBB" w:rsidRDefault="00AC1416" w:rsidP="006F5DBB">
      <w:pPr>
        <w:spacing w:after="120" w:line="276" w:lineRule="auto"/>
        <w:ind w:left="357"/>
        <w:jc w:val="both"/>
        <w:rPr>
          <w:rFonts w:eastAsiaTheme="minorEastAsia" w:cstheme="minorHAnsi"/>
          <w:color w:val="222222"/>
          <w:lang w:eastAsia="en-GB"/>
        </w:rPr>
      </w:pPr>
      <w:r>
        <w:rPr>
          <w:rFonts w:eastAsiaTheme="minorEastAsia" w:cstheme="minorHAnsi"/>
          <w:color w:val="222222"/>
          <w:lang w:eastAsia="en-GB"/>
        </w:rPr>
        <w:t xml:space="preserve">       </w:t>
      </w:r>
      <w:r w:rsidR="006F5DBB">
        <w:rPr>
          <w:rFonts w:eastAsiaTheme="minorEastAsia" w:cstheme="minorHAnsi"/>
          <w:color w:val="222222"/>
          <w:lang w:eastAsia="en-GB"/>
        </w:rPr>
        <w:t>Vrednovanje</w:t>
      </w:r>
      <w:r w:rsidR="00A87CF4">
        <w:rPr>
          <w:rFonts w:eastAsiaTheme="minorEastAsia" w:cstheme="minorHAnsi"/>
          <w:color w:val="222222"/>
          <w:lang w:eastAsia="en-GB"/>
        </w:rPr>
        <w:t xml:space="preserve"> </w:t>
      </w:r>
      <w:r w:rsidR="00B87D94" w:rsidRPr="00B87D94">
        <w:rPr>
          <w:rFonts w:cstheme="minorHAnsi"/>
        </w:rPr>
        <w:t>Nacrta</w:t>
      </w:r>
      <w:r w:rsidR="00B87D94" w:rsidRPr="00154905">
        <w:rPr>
          <w:rFonts w:cstheme="minorHAnsi"/>
        </w:rPr>
        <w:t xml:space="preserve"> </w:t>
      </w:r>
      <w:r w:rsidR="00A87CF4">
        <w:rPr>
          <w:rFonts w:eastAsiaTheme="minorEastAsia" w:cstheme="minorHAnsi"/>
          <w:color w:val="222222"/>
          <w:lang w:eastAsia="en-GB"/>
        </w:rPr>
        <w:t>Strategije</w:t>
      </w:r>
      <w:r w:rsidR="006F5DBB">
        <w:rPr>
          <w:rFonts w:eastAsiaTheme="minorEastAsia" w:cstheme="minorHAnsi"/>
          <w:color w:val="222222"/>
          <w:lang w:eastAsia="en-GB"/>
        </w:rPr>
        <w:t xml:space="preserve"> </w:t>
      </w:r>
      <w:r w:rsidR="006F5DBB" w:rsidRPr="00AC1416">
        <w:rPr>
          <w:rFonts w:eastAsiaTheme="minorEastAsia" w:cstheme="minorHAnsi"/>
          <w:color w:val="222222"/>
          <w:lang w:eastAsia="en-GB"/>
        </w:rPr>
        <w:t>uključ</w:t>
      </w:r>
      <w:r w:rsidR="00A87CF4" w:rsidRPr="00AC1416">
        <w:rPr>
          <w:rFonts w:eastAsiaTheme="minorEastAsia" w:cstheme="minorHAnsi"/>
          <w:color w:val="222222"/>
          <w:lang w:eastAsia="en-GB"/>
        </w:rPr>
        <w:t xml:space="preserve">ilo </w:t>
      </w:r>
      <w:r w:rsidR="006F5DBB" w:rsidRPr="00AC1416">
        <w:rPr>
          <w:rFonts w:eastAsiaTheme="minorEastAsia" w:cstheme="minorHAnsi"/>
          <w:color w:val="222222"/>
          <w:lang w:eastAsia="en-GB"/>
        </w:rPr>
        <w:t>je sljedeće metode:</w:t>
      </w:r>
    </w:p>
    <w:p w14:paraId="02537F0B" w14:textId="052FD273" w:rsidR="00AC1416" w:rsidRDefault="006F5DBB" w:rsidP="00AC1416">
      <w:pPr>
        <w:pStyle w:val="Odlomakpopisa"/>
        <w:numPr>
          <w:ilvl w:val="0"/>
          <w:numId w:val="15"/>
        </w:numPr>
        <w:spacing w:after="120" w:line="276" w:lineRule="auto"/>
        <w:jc w:val="both"/>
        <w:rPr>
          <w:rFonts w:eastAsiaTheme="minorEastAsia" w:cstheme="minorHAnsi"/>
          <w:color w:val="222222"/>
          <w:lang w:eastAsia="en-GB"/>
        </w:rPr>
      </w:pPr>
      <w:r w:rsidRPr="00AC1416">
        <w:rPr>
          <w:rFonts w:eastAsiaTheme="minorEastAsia" w:cstheme="minorHAnsi"/>
          <w:b/>
          <w:color w:val="222222"/>
          <w:lang w:eastAsia="en-GB"/>
        </w:rPr>
        <w:t>Istraživanje sekundarnih izvora</w:t>
      </w:r>
      <w:r w:rsidRPr="00AC1416">
        <w:rPr>
          <w:rFonts w:eastAsiaTheme="minorEastAsia" w:cstheme="minorHAnsi"/>
          <w:color w:val="222222"/>
          <w:lang w:eastAsia="en-GB"/>
        </w:rPr>
        <w:t>: pregled svih zaprimljenih relevantnih dokumenata od Naručitelja te prikupljanje i analiza dodatnih dokumenata i izvora (nacionalnih, EU i dr.) koji se odnose na problematiku, tj. svih neophodnih informacija za vrednovanje te provedbu kvalitativnih analiza.</w:t>
      </w:r>
    </w:p>
    <w:p w14:paraId="16A92912" w14:textId="77777777" w:rsidR="00AC1416" w:rsidRDefault="00AC1416" w:rsidP="00AC1416">
      <w:pPr>
        <w:pStyle w:val="Odlomakpopisa"/>
        <w:spacing w:after="120" w:line="276" w:lineRule="auto"/>
        <w:ind w:left="1080"/>
        <w:jc w:val="both"/>
        <w:rPr>
          <w:rFonts w:eastAsiaTheme="minorEastAsia" w:cstheme="minorHAnsi"/>
          <w:color w:val="222222"/>
          <w:lang w:eastAsia="en-GB"/>
        </w:rPr>
      </w:pPr>
    </w:p>
    <w:p w14:paraId="1650DAE6" w14:textId="77777777" w:rsidR="00AC1416" w:rsidRDefault="006F5DBB" w:rsidP="00AC1416">
      <w:pPr>
        <w:pStyle w:val="Odlomakpopisa"/>
        <w:numPr>
          <w:ilvl w:val="0"/>
          <w:numId w:val="15"/>
        </w:numPr>
        <w:spacing w:after="120" w:line="276" w:lineRule="auto"/>
        <w:jc w:val="both"/>
        <w:rPr>
          <w:rFonts w:eastAsiaTheme="minorEastAsia" w:cstheme="minorHAnsi"/>
          <w:color w:val="222222"/>
          <w:lang w:eastAsia="en-GB"/>
        </w:rPr>
      </w:pPr>
      <w:r w:rsidRPr="00AC1416">
        <w:rPr>
          <w:rFonts w:eastAsiaTheme="minorEastAsia" w:cstheme="minorHAnsi"/>
          <w:color w:val="222222"/>
          <w:lang w:eastAsia="en-GB"/>
        </w:rPr>
        <w:t xml:space="preserve"> </w:t>
      </w:r>
      <w:r w:rsidRPr="00AC1416">
        <w:rPr>
          <w:rFonts w:eastAsiaTheme="minorEastAsia" w:cstheme="minorHAnsi"/>
          <w:b/>
          <w:color w:val="222222"/>
          <w:lang w:eastAsia="en-GB"/>
        </w:rPr>
        <w:t>Primarno prikupljanje podataka</w:t>
      </w:r>
      <w:r w:rsidRPr="00AC1416">
        <w:rPr>
          <w:rFonts w:eastAsiaTheme="minorEastAsia" w:cstheme="minorHAnsi"/>
          <w:color w:val="222222"/>
          <w:lang w:eastAsia="en-GB"/>
        </w:rPr>
        <w:t xml:space="preserve">: odnosi se na rasprave s predstavnicima Ministarstva tijekom održanih </w:t>
      </w:r>
      <w:r w:rsidR="00A87CF4" w:rsidRPr="00AC1416">
        <w:rPr>
          <w:rFonts w:eastAsiaTheme="minorEastAsia" w:cstheme="minorHAnsi"/>
          <w:color w:val="222222"/>
          <w:lang w:eastAsia="en-GB"/>
        </w:rPr>
        <w:t xml:space="preserve">sastanaka </w:t>
      </w:r>
      <w:r w:rsidRPr="00AC1416">
        <w:rPr>
          <w:rFonts w:eastAsiaTheme="minorEastAsia" w:cstheme="minorHAnsi"/>
          <w:color w:val="222222"/>
          <w:lang w:eastAsia="en-GB"/>
        </w:rPr>
        <w:t>u okviru projekta.</w:t>
      </w:r>
      <w:r w:rsidR="00AC1416">
        <w:rPr>
          <w:rFonts w:eastAsiaTheme="minorEastAsia" w:cstheme="minorHAnsi"/>
          <w:color w:val="222222"/>
          <w:lang w:eastAsia="en-GB"/>
        </w:rPr>
        <w:t xml:space="preserve"> </w:t>
      </w:r>
    </w:p>
    <w:p w14:paraId="36EA7828" w14:textId="77777777" w:rsidR="00AC1416" w:rsidRPr="00AC1416" w:rsidRDefault="00AC1416" w:rsidP="00AC1416">
      <w:pPr>
        <w:pStyle w:val="Odlomakpopisa"/>
        <w:rPr>
          <w:rFonts w:eastAsiaTheme="minorEastAsia" w:cstheme="minorHAnsi"/>
          <w:b/>
          <w:color w:val="222222"/>
          <w:lang w:eastAsia="en-GB"/>
        </w:rPr>
      </w:pPr>
    </w:p>
    <w:p w14:paraId="7F21F2F8" w14:textId="56766015" w:rsidR="006F5DBB" w:rsidRPr="00AC1416" w:rsidRDefault="006F5DBB" w:rsidP="00AC1416">
      <w:pPr>
        <w:pStyle w:val="Odlomakpopisa"/>
        <w:numPr>
          <w:ilvl w:val="0"/>
          <w:numId w:val="15"/>
        </w:numPr>
        <w:spacing w:after="120" w:line="276" w:lineRule="auto"/>
        <w:jc w:val="both"/>
        <w:rPr>
          <w:rFonts w:eastAsiaTheme="minorEastAsia" w:cstheme="minorHAnsi"/>
          <w:color w:val="222222"/>
          <w:lang w:eastAsia="en-GB"/>
        </w:rPr>
      </w:pPr>
      <w:r w:rsidRPr="00AC1416">
        <w:rPr>
          <w:rFonts w:eastAsiaTheme="minorEastAsia" w:cstheme="minorHAnsi"/>
          <w:b/>
          <w:color w:val="222222"/>
          <w:lang w:eastAsia="en-GB"/>
        </w:rPr>
        <w:t>Sinteza nalaza</w:t>
      </w:r>
      <w:r w:rsidRPr="00AC1416">
        <w:rPr>
          <w:rFonts w:eastAsiaTheme="minorEastAsia" w:cstheme="minorHAnsi"/>
          <w:color w:val="222222"/>
          <w:lang w:eastAsia="en-GB"/>
        </w:rPr>
        <w:t xml:space="preserve">: analiza nalaza, potvrda uzročno-posljedičnih odnosa, nalazi i zaključci po svakom evaluacijskom pitanju temeljem primjene ključnih evaluacijskih kriterija. </w:t>
      </w:r>
    </w:p>
    <w:p w14:paraId="54731498" w14:textId="179CA1C1" w:rsidR="006F5DBB" w:rsidRDefault="006F5DBB" w:rsidP="00AC1416">
      <w:pPr>
        <w:spacing w:line="276" w:lineRule="auto"/>
        <w:ind w:left="360" w:firstLine="360"/>
        <w:jc w:val="both"/>
        <w:rPr>
          <w:rFonts w:eastAsiaTheme="minorEastAsia" w:cstheme="minorHAnsi"/>
          <w:color w:val="222222"/>
        </w:rPr>
      </w:pPr>
      <w:r>
        <w:rPr>
          <w:rFonts w:eastAsiaTheme="minorEastAsia" w:cstheme="minorHAnsi"/>
          <w:color w:val="222222"/>
        </w:rPr>
        <w:t xml:space="preserve">Uz spomenuto, nalazi vrednovanja </w:t>
      </w:r>
      <w:r w:rsidR="00A87CF4">
        <w:rPr>
          <w:rFonts w:eastAsiaTheme="minorEastAsia" w:cstheme="minorHAnsi"/>
          <w:color w:val="222222"/>
        </w:rPr>
        <w:t>su</w:t>
      </w:r>
      <w:r>
        <w:rPr>
          <w:rFonts w:eastAsiaTheme="minorEastAsia" w:cstheme="minorHAnsi"/>
          <w:color w:val="222222"/>
        </w:rPr>
        <w:t xml:space="preserve"> se</w:t>
      </w:r>
      <w:r w:rsidR="001A0D91">
        <w:rPr>
          <w:rFonts w:eastAsiaTheme="minorEastAsia" w:cstheme="minorHAnsi"/>
          <w:color w:val="222222"/>
        </w:rPr>
        <w:t>,</w:t>
      </w:r>
      <w:r>
        <w:rPr>
          <w:rFonts w:eastAsiaTheme="minorEastAsia" w:cstheme="minorHAnsi"/>
          <w:color w:val="222222"/>
        </w:rPr>
        <w:t xml:space="preserve"> </w:t>
      </w:r>
      <w:r w:rsidR="001A0D91">
        <w:rPr>
          <w:rFonts w:eastAsiaTheme="minorEastAsia" w:cstheme="minorHAnsi"/>
          <w:color w:val="222222"/>
        </w:rPr>
        <w:t>po potrebi,</w:t>
      </w:r>
      <w:r>
        <w:rPr>
          <w:rFonts w:eastAsiaTheme="minorEastAsia" w:cstheme="minorHAnsi"/>
          <w:color w:val="222222"/>
        </w:rPr>
        <w:t xml:space="preserve"> dodatno </w:t>
      </w:r>
      <w:r w:rsidR="001A0D91">
        <w:rPr>
          <w:rFonts w:eastAsiaTheme="minorEastAsia" w:cstheme="minorHAnsi"/>
          <w:color w:val="222222"/>
        </w:rPr>
        <w:t xml:space="preserve">raspravljali </w:t>
      </w:r>
      <w:r>
        <w:rPr>
          <w:rFonts w:eastAsiaTheme="minorEastAsia" w:cstheme="minorHAnsi"/>
          <w:color w:val="222222"/>
        </w:rPr>
        <w:t>s Naručiteljem.</w:t>
      </w:r>
    </w:p>
    <w:p w14:paraId="5DE9F8D6" w14:textId="77777777" w:rsidR="006F5DBB" w:rsidRDefault="006F5DBB" w:rsidP="006F5DBB">
      <w:pPr>
        <w:spacing w:line="276" w:lineRule="auto"/>
        <w:jc w:val="both"/>
        <w:rPr>
          <w:rFonts w:eastAsiaTheme="minorEastAsia" w:cstheme="minorHAnsi"/>
          <w:color w:val="222222"/>
        </w:rPr>
      </w:pPr>
      <w:r>
        <w:rPr>
          <w:rFonts w:eastAsiaTheme="minorEastAsia" w:cstheme="minorHAnsi"/>
          <w:color w:val="222222"/>
        </w:rPr>
        <w:t xml:space="preserve">   </w:t>
      </w:r>
    </w:p>
    <w:p w14:paraId="73FC1FFA" w14:textId="7F49FE4D" w:rsidR="006F5DBB" w:rsidRDefault="006F5DBB" w:rsidP="00C00A55">
      <w:pPr>
        <w:spacing w:line="276" w:lineRule="auto"/>
        <w:ind w:left="720"/>
        <w:jc w:val="both"/>
        <w:rPr>
          <w:rFonts w:eastAsiaTheme="minorEastAsia" w:cstheme="minorHAnsi"/>
          <w:color w:val="222222"/>
        </w:rPr>
      </w:pPr>
      <w:r w:rsidRPr="00C00A55">
        <w:rPr>
          <w:rFonts w:eastAsiaTheme="minorEastAsia" w:cstheme="minorHAnsi"/>
          <w:color w:val="222222"/>
        </w:rPr>
        <w:t>Metode analize podataka</w:t>
      </w:r>
      <w:r>
        <w:rPr>
          <w:rFonts w:eastAsiaTheme="minorEastAsia" w:cstheme="minorHAnsi"/>
          <w:color w:val="222222"/>
        </w:rPr>
        <w:t xml:space="preserve"> – Tijekom realizacije postupka vrednovanja korist</w:t>
      </w:r>
      <w:r w:rsidR="00A87CF4">
        <w:rPr>
          <w:rFonts w:eastAsiaTheme="minorEastAsia" w:cstheme="minorHAnsi"/>
          <w:color w:val="222222"/>
        </w:rPr>
        <w:t>ile</w:t>
      </w:r>
      <w:r>
        <w:rPr>
          <w:rFonts w:eastAsiaTheme="minorEastAsia" w:cstheme="minorHAnsi"/>
          <w:color w:val="222222"/>
        </w:rPr>
        <w:t xml:space="preserve"> </w:t>
      </w:r>
      <w:r w:rsidR="00A87CF4">
        <w:rPr>
          <w:rFonts w:eastAsiaTheme="minorEastAsia" w:cstheme="minorHAnsi"/>
          <w:color w:val="222222"/>
        </w:rPr>
        <w:t>su</w:t>
      </w:r>
      <w:r>
        <w:rPr>
          <w:rFonts w:eastAsiaTheme="minorEastAsia" w:cstheme="minorHAnsi"/>
          <w:color w:val="222222"/>
        </w:rPr>
        <w:t xml:space="preserve"> se prvenstveno sljedeće </w:t>
      </w:r>
      <w:r w:rsidR="00C00A55">
        <w:rPr>
          <w:rFonts w:eastAsiaTheme="minorEastAsia" w:cstheme="minorHAnsi"/>
          <w:color w:val="222222"/>
        </w:rPr>
        <w:t xml:space="preserve">analitičke </w:t>
      </w:r>
      <w:r>
        <w:rPr>
          <w:rFonts w:eastAsiaTheme="minorEastAsia" w:cstheme="minorHAnsi"/>
          <w:color w:val="222222"/>
        </w:rPr>
        <w:t>metode:</w:t>
      </w:r>
    </w:p>
    <w:p w14:paraId="2A63ABCA" w14:textId="7A48648C" w:rsidR="006F5DBB" w:rsidRDefault="006F5DBB" w:rsidP="00C00A55">
      <w:pPr>
        <w:pStyle w:val="Odlomakpopisa"/>
        <w:numPr>
          <w:ilvl w:val="0"/>
          <w:numId w:val="3"/>
        </w:numPr>
        <w:spacing w:line="276" w:lineRule="auto"/>
        <w:jc w:val="both"/>
        <w:rPr>
          <w:rFonts w:eastAsiaTheme="minorEastAsia" w:cstheme="minorHAnsi"/>
          <w:color w:val="222222"/>
        </w:rPr>
      </w:pPr>
      <w:r w:rsidRPr="00C00A55">
        <w:rPr>
          <w:rFonts w:eastAsiaTheme="minorEastAsia" w:cstheme="minorHAnsi"/>
          <w:color w:val="222222"/>
        </w:rPr>
        <w:lastRenderedPageBreak/>
        <w:t>Analiza intervencijske logike</w:t>
      </w:r>
    </w:p>
    <w:p w14:paraId="4CC2227F" w14:textId="58C295C3" w:rsidR="006F5DBB" w:rsidRDefault="00C00A55" w:rsidP="00C00A55">
      <w:pPr>
        <w:pStyle w:val="Odlomakpopisa"/>
        <w:numPr>
          <w:ilvl w:val="0"/>
          <w:numId w:val="3"/>
        </w:numPr>
        <w:spacing w:line="276" w:lineRule="auto"/>
        <w:jc w:val="both"/>
        <w:rPr>
          <w:rFonts w:eastAsiaTheme="minorEastAsia" w:cstheme="minorHAnsi"/>
          <w:color w:val="222222"/>
        </w:rPr>
      </w:pPr>
      <w:r>
        <w:rPr>
          <w:rFonts w:eastAsiaTheme="minorEastAsia" w:cstheme="minorHAnsi"/>
          <w:color w:val="222222"/>
        </w:rPr>
        <w:t>A</w:t>
      </w:r>
      <w:r w:rsidR="006F5DBB" w:rsidRPr="00C00A55">
        <w:rPr>
          <w:rFonts w:eastAsiaTheme="minorEastAsia" w:cstheme="minorHAnsi"/>
          <w:color w:val="222222"/>
        </w:rPr>
        <w:t>naliza pokazatelja</w:t>
      </w:r>
    </w:p>
    <w:p w14:paraId="4EB2523B" w14:textId="7732A978" w:rsidR="006F5DBB" w:rsidRDefault="006F5DBB" w:rsidP="00C00A55">
      <w:pPr>
        <w:pStyle w:val="Odlomakpopisa"/>
        <w:numPr>
          <w:ilvl w:val="0"/>
          <w:numId w:val="3"/>
        </w:numPr>
        <w:spacing w:line="276" w:lineRule="auto"/>
        <w:jc w:val="both"/>
        <w:rPr>
          <w:rFonts w:eastAsiaTheme="minorEastAsia" w:cstheme="minorHAnsi"/>
          <w:color w:val="222222"/>
        </w:rPr>
      </w:pPr>
      <w:r w:rsidRPr="00C00A55">
        <w:rPr>
          <w:rFonts w:eastAsiaTheme="minorEastAsia" w:cstheme="minorHAnsi"/>
          <w:color w:val="222222"/>
        </w:rPr>
        <w:t>Kvalitativna analiza</w:t>
      </w:r>
    </w:p>
    <w:p w14:paraId="2A097116" w14:textId="1CEE2EBA" w:rsidR="006F5DBB" w:rsidRPr="00C00A55" w:rsidRDefault="006F5DBB" w:rsidP="00C00A55">
      <w:pPr>
        <w:pStyle w:val="Odlomakpopisa"/>
        <w:numPr>
          <w:ilvl w:val="0"/>
          <w:numId w:val="3"/>
        </w:numPr>
        <w:spacing w:line="276" w:lineRule="auto"/>
        <w:jc w:val="both"/>
        <w:rPr>
          <w:rFonts w:eastAsiaTheme="minorEastAsia" w:cstheme="minorHAnsi"/>
          <w:color w:val="222222"/>
        </w:rPr>
      </w:pPr>
      <w:r w:rsidRPr="00C00A55">
        <w:rPr>
          <w:rFonts w:eastAsiaTheme="minorEastAsia" w:cstheme="minorHAnsi"/>
          <w:color w:val="222222"/>
        </w:rPr>
        <w:t xml:space="preserve">Rasprave s ključnim dionicima </w:t>
      </w:r>
    </w:p>
    <w:p w14:paraId="120C1CC7" w14:textId="77777777" w:rsidR="0046158F" w:rsidRPr="00C877C6" w:rsidRDefault="0046158F" w:rsidP="0046158F">
      <w:pPr>
        <w:spacing w:line="60" w:lineRule="atLeast"/>
        <w:ind w:firstLine="720"/>
        <w:rPr>
          <w:rFonts w:ascii="Calibri" w:hAnsi="Calibri" w:cs="Calibri"/>
        </w:rPr>
      </w:pPr>
      <w:r w:rsidRPr="00C877C6">
        <w:rPr>
          <w:rFonts w:ascii="Calibri" w:hAnsi="Calibri" w:cs="Calibri"/>
        </w:rPr>
        <w:t>Metodologija za odgovaranje na evaluacijska pitanja i donošenje zaključaka</w:t>
      </w:r>
    </w:p>
    <w:p w14:paraId="75B8BD9B" w14:textId="0D47A989" w:rsidR="0046158F" w:rsidRPr="0046158F" w:rsidRDefault="0046158F" w:rsidP="0046158F">
      <w:pPr>
        <w:pStyle w:val="Odlomakpopisa"/>
        <w:numPr>
          <w:ilvl w:val="0"/>
          <w:numId w:val="3"/>
        </w:numPr>
        <w:spacing w:line="276" w:lineRule="auto"/>
        <w:jc w:val="both"/>
        <w:rPr>
          <w:rFonts w:eastAsiaTheme="minorEastAsia" w:cstheme="minorHAnsi"/>
          <w:color w:val="222222"/>
        </w:rPr>
      </w:pPr>
      <w:r w:rsidRPr="0046158F">
        <w:rPr>
          <w:rFonts w:eastAsiaTheme="minorEastAsia" w:cstheme="minorHAnsi"/>
          <w:color w:val="222222"/>
        </w:rPr>
        <w:t xml:space="preserve">Temeljem primjene spomenutih metoda omogućeno je cjelovito sagledavanje i vrednovanje </w:t>
      </w:r>
      <w:r w:rsidR="00B87D94" w:rsidRPr="00B87D94">
        <w:rPr>
          <w:rFonts w:cstheme="minorHAnsi"/>
        </w:rPr>
        <w:t>Nacrta</w:t>
      </w:r>
      <w:r w:rsidR="00B87D94" w:rsidRPr="00154905">
        <w:rPr>
          <w:rFonts w:cstheme="minorHAnsi"/>
        </w:rPr>
        <w:t xml:space="preserve"> </w:t>
      </w:r>
      <w:r w:rsidRPr="0046158F">
        <w:rPr>
          <w:rFonts w:eastAsiaTheme="minorEastAsia" w:cstheme="minorHAnsi"/>
          <w:color w:val="222222"/>
        </w:rPr>
        <w:t xml:space="preserve">Strategije te formuliranje komentara i preporuka usmjerenih poboljšanju svih njenih dijelova. </w:t>
      </w:r>
    </w:p>
    <w:p w14:paraId="3F84964F" w14:textId="78835B40" w:rsidR="0046158F" w:rsidRPr="0046158F" w:rsidRDefault="0046158F" w:rsidP="0046158F">
      <w:pPr>
        <w:pStyle w:val="Odlomakpopisa"/>
        <w:numPr>
          <w:ilvl w:val="0"/>
          <w:numId w:val="3"/>
        </w:numPr>
        <w:spacing w:line="276" w:lineRule="auto"/>
        <w:jc w:val="both"/>
        <w:rPr>
          <w:rFonts w:eastAsiaTheme="minorEastAsia" w:cstheme="minorHAnsi"/>
          <w:color w:val="222222"/>
        </w:rPr>
      </w:pPr>
      <w:r w:rsidRPr="0046158F">
        <w:rPr>
          <w:rFonts w:eastAsiaTheme="minorEastAsia" w:cstheme="minorHAnsi"/>
          <w:color w:val="222222"/>
        </w:rPr>
        <w:t>Odgovori na evaluacijska pitanja realizirani su temeljem primjene evaluacijskih kriterija i spomenutih metoda evaluacije te su poslužili kao osnova za donošenje zaključaka vrednovanja.</w:t>
      </w:r>
    </w:p>
    <w:p w14:paraId="59DB3595" w14:textId="77777777" w:rsidR="00A87CF4" w:rsidRDefault="00A87CF4" w:rsidP="006F5DBB">
      <w:pPr>
        <w:spacing w:line="276" w:lineRule="auto"/>
        <w:jc w:val="both"/>
        <w:rPr>
          <w:rFonts w:eastAsiaTheme="minorEastAsia" w:cstheme="minorHAnsi"/>
          <w:b/>
          <w:color w:val="222222"/>
          <w:u w:val="single"/>
        </w:rPr>
      </w:pPr>
    </w:p>
    <w:p w14:paraId="746B9DB9" w14:textId="77777777" w:rsidR="006F5DBB" w:rsidRPr="00C00A55" w:rsidRDefault="006F5DBB" w:rsidP="00C00A55">
      <w:pPr>
        <w:spacing w:before="100" w:beforeAutospacing="1" w:afterAutospacing="1"/>
        <w:ind w:firstLine="720"/>
        <w:rPr>
          <w:rFonts w:cstheme="minorHAnsi"/>
          <w:b/>
        </w:rPr>
      </w:pPr>
      <w:r w:rsidRPr="00C00A55">
        <w:rPr>
          <w:rFonts w:cstheme="minorHAnsi"/>
          <w:b/>
        </w:rPr>
        <w:t>Fazni pristup tijekom realizacije vrednovanja Nacrta Strategije</w:t>
      </w:r>
    </w:p>
    <w:p w14:paraId="5F8EC6AE" w14:textId="77777777" w:rsidR="006F5DBB" w:rsidRPr="001815F7" w:rsidRDefault="006F5DBB" w:rsidP="00C00A55">
      <w:pPr>
        <w:pStyle w:val="Tekstkomentara"/>
        <w:spacing w:line="259" w:lineRule="auto"/>
        <w:ind w:firstLine="720"/>
        <w:jc w:val="both"/>
        <w:rPr>
          <w:rFonts w:cstheme="minorHAnsi"/>
          <w:sz w:val="22"/>
          <w:szCs w:val="22"/>
        </w:rPr>
      </w:pPr>
      <w:r>
        <w:rPr>
          <w:rFonts w:cstheme="minorHAnsi"/>
          <w:sz w:val="22"/>
          <w:szCs w:val="22"/>
        </w:rPr>
        <w:t xml:space="preserve">U prvoj fazi vrednovanja korišteni su prvenstveno </w:t>
      </w:r>
      <w:r w:rsidRPr="001815F7">
        <w:rPr>
          <w:rFonts w:cstheme="minorHAnsi"/>
          <w:sz w:val="22"/>
          <w:szCs w:val="22"/>
        </w:rPr>
        <w:t>sljedeći kriteriji:</w:t>
      </w:r>
    </w:p>
    <w:p w14:paraId="0368E073" w14:textId="77777777" w:rsidR="006F5DBB" w:rsidRDefault="006F5DBB" w:rsidP="009D0757">
      <w:pPr>
        <w:pStyle w:val="Tekstkomentara"/>
        <w:numPr>
          <w:ilvl w:val="1"/>
          <w:numId w:val="2"/>
        </w:numPr>
        <w:spacing w:line="259" w:lineRule="auto"/>
        <w:jc w:val="both"/>
        <w:rPr>
          <w:rFonts w:cstheme="minorHAnsi"/>
          <w:sz w:val="22"/>
          <w:szCs w:val="22"/>
        </w:rPr>
      </w:pPr>
      <w:r>
        <w:rPr>
          <w:rFonts w:cstheme="minorHAnsi"/>
          <w:sz w:val="22"/>
          <w:szCs w:val="22"/>
        </w:rPr>
        <w:t>Relevantnost</w:t>
      </w:r>
    </w:p>
    <w:p w14:paraId="69774A15" w14:textId="77777777" w:rsidR="006F5DBB" w:rsidRPr="001815F7" w:rsidRDefault="006F5DBB" w:rsidP="009D0757">
      <w:pPr>
        <w:pStyle w:val="Tekstkomentara"/>
        <w:numPr>
          <w:ilvl w:val="1"/>
          <w:numId w:val="2"/>
        </w:numPr>
        <w:spacing w:line="259" w:lineRule="auto"/>
        <w:jc w:val="both"/>
        <w:rPr>
          <w:rFonts w:cstheme="minorHAnsi"/>
          <w:sz w:val="22"/>
          <w:szCs w:val="22"/>
        </w:rPr>
      </w:pPr>
      <w:r w:rsidRPr="001815F7">
        <w:rPr>
          <w:rFonts w:cstheme="minorHAnsi"/>
          <w:sz w:val="22"/>
          <w:szCs w:val="22"/>
        </w:rPr>
        <w:t xml:space="preserve">Unutarnja i vanjska usklađenost/koherentnost </w:t>
      </w:r>
    </w:p>
    <w:p w14:paraId="2061EB36" w14:textId="77777777" w:rsidR="006F5DBB" w:rsidRPr="001815F7" w:rsidRDefault="006F5DBB" w:rsidP="009D0757">
      <w:pPr>
        <w:pStyle w:val="Tekstkomentara"/>
        <w:numPr>
          <w:ilvl w:val="1"/>
          <w:numId w:val="2"/>
        </w:numPr>
        <w:spacing w:line="259" w:lineRule="auto"/>
        <w:jc w:val="both"/>
        <w:rPr>
          <w:rFonts w:cstheme="minorHAnsi"/>
          <w:sz w:val="22"/>
          <w:szCs w:val="22"/>
        </w:rPr>
      </w:pPr>
      <w:r w:rsidRPr="001815F7">
        <w:rPr>
          <w:rFonts w:cstheme="minorHAnsi"/>
          <w:sz w:val="22"/>
          <w:szCs w:val="22"/>
        </w:rPr>
        <w:t>Konzistentnost</w:t>
      </w:r>
    </w:p>
    <w:p w14:paraId="67893973" w14:textId="77777777" w:rsidR="006F5DBB" w:rsidRPr="001815F7" w:rsidRDefault="006F5DBB" w:rsidP="009D0757">
      <w:pPr>
        <w:pStyle w:val="Tekstkomentara"/>
        <w:numPr>
          <w:ilvl w:val="1"/>
          <w:numId w:val="2"/>
        </w:numPr>
        <w:spacing w:line="259" w:lineRule="auto"/>
        <w:jc w:val="both"/>
        <w:rPr>
          <w:rFonts w:cstheme="minorHAnsi"/>
          <w:sz w:val="22"/>
          <w:szCs w:val="22"/>
        </w:rPr>
      </w:pPr>
      <w:r w:rsidRPr="001815F7">
        <w:rPr>
          <w:rFonts w:cstheme="minorHAnsi"/>
          <w:sz w:val="22"/>
          <w:szCs w:val="22"/>
        </w:rPr>
        <w:t>Jasnoća</w:t>
      </w:r>
    </w:p>
    <w:p w14:paraId="166DF1E2" w14:textId="6250A39A" w:rsidR="006F5DBB" w:rsidRDefault="006F5DBB" w:rsidP="00C00A55">
      <w:pPr>
        <w:pStyle w:val="Tekstkomentara"/>
        <w:spacing w:line="259" w:lineRule="auto"/>
        <w:ind w:left="720"/>
        <w:jc w:val="both"/>
        <w:rPr>
          <w:rFonts w:cstheme="minorHAnsi"/>
          <w:sz w:val="22"/>
          <w:szCs w:val="22"/>
        </w:rPr>
      </w:pPr>
      <w:r>
        <w:rPr>
          <w:rFonts w:cstheme="minorHAnsi"/>
          <w:sz w:val="22"/>
          <w:szCs w:val="22"/>
        </w:rPr>
        <w:t xml:space="preserve">Kako bi se Izrađivaču </w:t>
      </w:r>
      <w:r w:rsidRPr="001815F7">
        <w:rPr>
          <w:rFonts w:cstheme="minorHAnsi"/>
          <w:sz w:val="22"/>
          <w:szCs w:val="22"/>
        </w:rPr>
        <w:t xml:space="preserve">omogućilo da se izradi </w:t>
      </w:r>
      <w:r>
        <w:rPr>
          <w:rFonts w:cstheme="minorHAnsi"/>
          <w:sz w:val="22"/>
          <w:szCs w:val="22"/>
        </w:rPr>
        <w:t xml:space="preserve">daljnja verzija </w:t>
      </w:r>
      <w:r w:rsidRPr="001815F7">
        <w:rPr>
          <w:rFonts w:cstheme="minorHAnsi"/>
          <w:sz w:val="22"/>
          <w:szCs w:val="22"/>
        </w:rPr>
        <w:t>Nacrt</w:t>
      </w:r>
      <w:r>
        <w:rPr>
          <w:rFonts w:cstheme="minorHAnsi"/>
          <w:sz w:val="22"/>
          <w:szCs w:val="22"/>
        </w:rPr>
        <w:t>a</w:t>
      </w:r>
      <w:r w:rsidRPr="001815F7">
        <w:rPr>
          <w:rFonts w:cstheme="minorHAnsi"/>
          <w:sz w:val="22"/>
          <w:szCs w:val="22"/>
        </w:rPr>
        <w:t xml:space="preserve"> u što kraćem vremenskom roku, </w:t>
      </w:r>
      <w:r>
        <w:rPr>
          <w:rFonts w:cstheme="minorHAnsi"/>
          <w:sz w:val="22"/>
          <w:szCs w:val="22"/>
        </w:rPr>
        <w:t xml:space="preserve">u prvoj fazi vrednovanja posebna pozornost je bila usmjerena na postizanje unutarnje usklađenosti, </w:t>
      </w:r>
      <w:r w:rsidR="00C00A55">
        <w:t>gdje je identificiran znatna mogućnost unapređenja</w:t>
      </w:r>
      <w:r>
        <w:rPr>
          <w:rFonts w:cstheme="minorHAnsi"/>
          <w:sz w:val="22"/>
          <w:szCs w:val="22"/>
        </w:rPr>
        <w:t>. Slijedom primjene spomenuta tri kriterija, ključne i specifične sugestije po svim poglavljima inkorporirane su u Početno izvješće. Ključne preporuke iz ove faze bit će obuhvaćene kroz odgovore na evaluacijska pitanja.</w:t>
      </w:r>
    </w:p>
    <w:p w14:paraId="7AA207A2" w14:textId="5B8DF65D" w:rsidR="006F5DBB" w:rsidRDefault="006F5DBB" w:rsidP="00C00A55">
      <w:pPr>
        <w:pStyle w:val="Tekstkomentara"/>
        <w:spacing w:line="259" w:lineRule="auto"/>
        <w:ind w:left="720"/>
        <w:jc w:val="both"/>
        <w:rPr>
          <w:rFonts w:cstheme="minorHAnsi"/>
          <w:sz w:val="22"/>
          <w:szCs w:val="22"/>
        </w:rPr>
      </w:pPr>
      <w:r>
        <w:rPr>
          <w:rFonts w:cstheme="minorHAnsi"/>
          <w:sz w:val="22"/>
          <w:szCs w:val="22"/>
        </w:rPr>
        <w:t>U drugoj fazi vrednovanja, nakon što je Nacrt Strategije b</w:t>
      </w:r>
      <w:r w:rsidR="00EC18EA">
        <w:rPr>
          <w:rFonts w:cstheme="minorHAnsi"/>
          <w:sz w:val="22"/>
          <w:szCs w:val="22"/>
        </w:rPr>
        <w:t>io</w:t>
      </w:r>
      <w:r>
        <w:rPr>
          <w:rFonts w:cstheme="minorHAnsi"/>
          <w:sz w:val="22"/>
          <w:szCs w:val="22"/>
        </w:rPr>
        <w:t xml:space="preserve"> sadržajno presložen, te unutarnja usklađenost  </w:t>
      </w:r>
      <w:r w:rsidR="00CB4120">
        <w:rPr>
          <w:rFonts w:cstheme="minorHAnsi"/>
          <w:sz w:val="22"/>
          <w:szCs w:val="22"/>
        </w:rPr>
        <w:t>akta strateškog dokumenta vidljiva</w:t>
      </w:r>
      <w:r>
        <w:rPr>
          <w:rFonts w:cstheme="minorHAnsi"/>
          <w:sz w:val="22"/>
          <w:szCs w:val="22"/>
        </w:rPr>
        <w:t xml:space="preserve">, vrednovanje </w:t>
      </w:r>
      <w:r w:rsidR="00EC18EA">
        <w:rPr>
          <w:rFonts w:cstheme="minorHAnsi"/>
          <w:sz w:val="22"/>
          <w:szCs w:val="22"/>
        </w:rPr>
        <w:t>j</w:t>
      </w:r>
      <w:r>
        <w:rPr>
          <w:rFonts w:cstheme="minorHAnsi"/>
          <w:sz w:val="22"/>
          <w:szCs w:val="22"/>
        </w:rPr>
        <w:t>e u većoj mjeri bi</w:t>
      </w:r>
      <w:r w:rsidR="00EC18EA">
        <w:rPr>
          <w:rFonts w:cstheme="minorHAnsi"/>
          <w:sz w:val="22"/>
          <w:szCs w:val="22"/>
        </w:rPr>
        <w:t>lo</w:t>
      </w:r>
      <w:r>
        <w:rPr>
          <w:rFonts w:cstheme="minorHAnsi"/>
          <w:sz w:val="22"/>
          <w:szCs w:val="22"/>
        </w:rPr>
        <w:t xml:space="preserve"> usmjereno na primjenu ostalih kriterija vrednovanja te na odgovore na ključna evaluacijska pitanja. </w:t>
      </w:r>
    </w:p>
    <w:p w14:paraId="76604D30" w14:textId="77777777" w:rsidR="005617E7" w:rsidRDefault="005617E7" w:rsidP="0046158F">
      <w:pPr>
        <w:spacing w:line="276" w:lineRule="auto"/>
        <w:jc w:val="both"/>
        <w:rPr>
          <w:rFonts w:asciiTheme="majorHAnsi" w:eastAsiaTheme="minorEastAsia" w:hAnsiTheme="majorHAnsi" w:cstheme="majorHAnsi"/>
          <w:b/>
          <w:color w:val="0070C0"/>
          <w:sz w:val="24"/>
          <w:szCs w:val="24"/>
          <w:u w:val="single"/>
        </w:rPr>
      </w:pPr>
    </w:p>
    <w:p w14:paraId="173C81C3" w14:textId="139FD94E" w:rsidR="0046158F" w:rsidRDefault="0046158F" w:rsidP="0046158F">
      <w:pPr>
        <w:spacing w:line="276" w:lineRule="auto"/>
        <w:jc w:val="both"/>
        <w:rPr>
          <w:rFonts w:eastAsiaTheme="minorEastAsia" w:cstheme="minorHAnsi"/>
          <w:color w:val="0070C0"/>
        </w:rPr>
      </w:pPr>
      <w:r w:rsidRPr="0046158F">
        <w:rPr>
          <w:rFonts w:asciiTheme="majorHAnsi" w:eastAsiaTheme="minorEastAsia" w:hAnsiTheme="majorHAnsi" w:cstheme="majorHAnsi"/>
          <w:b/>
          <w:color w:val="0070C0"/>
          <w:sz w:val="24"/>
          <w:szCs w:val="24"/>
          <w:u w:val="single"/>
        </w:rPr>
        <w:t>Izvori podataka</w:t>
      </w:r>
      <w:r w:rsidRPr="0046158F">
        <w:rPr>
          <w:rFonts w:eastAsiaTheme="minorEastAsia" w:cstheme="minorHAnsi"/>
          <w:color w:val="0070C0"/>
        </w:rPr>
        <w:t xml:space="preserve"> </w:t>
      </w:r>
    </w:p>
    <w:p w14:paraId="074AC174" w14:textId="77777777" w:rsidR="0046158F" w:rsidRDefault="0046158F" w:rsidP="00C00A55">
      <w:pPr>
        <w:spacing w:line="276" w:lineRule="auto"/>
        <w:ind w:firstLine="360"/>
        <w:jc w:val="both"/>
        <w:rPr>
          <w:rFonts w:eastAsiaTheme="minorEastAsia" w:cstheme="minorHAnsi"/>
          <w:color w:val="222222"/>
        </w:rPr>
      </w:pPr>
      <w:r>
        <w:rPr>
          <w:rFonts w:eastAsiaTheme="minorEastAsia" w:cstheme="minorHAnsi"/>
          <w:color w:val="222222"/>
        </w:rPr>
        <w:t>Riječ je prvenstveno o sljedećim izvorima:</w:t>
      </w:r>
    </w:p>
    <w:p w14:paraId="59EC27AD" w14:textId="77777777" w:rsidR="0046158F" w:rsidRDefault="0046158F" w:rsidP="0046158F">
      <w:pPr>
        <w:pStyle w:val="Odlomakpopisa"/>
        <w:numPr>
          <w:ilvl w:val="0"/>
          <w:numId w:val="3"/>
        </w:numPr>
        <w:spacing w:line="276" w:lineRule="auto"/>
        <w:ind w:left="720"/>
        <w:jc w:val="both"/>
        <w:rPr>
          <w:rFonts w:eastAsiaTheme="minorEastAsia" w:cstheme="minorHAnsi"/>
          <w:color w:val="222222"/>
        </w:rPr>
      </w:pPr>
      <w:r>
        <w:rPr>
          <w:rFonts w:eastAsiaTheme="minorEastAsia" w:cstheme="minorHAnsi"/>
          <w:color w:val="222222"/>
        </w:rPr>
        <w:t>Nacrti Strategije biogospodarstva do 2035,</w:t>
      </w:r>
    </w:p>
    <w:p w14:paraId="53BAFBF3" w14:textId="77777777" w:rsidR="0046158F" w:rsidRPr="00AC601D" w:rsidRDefault="0046158F" w:rsidP="0046158F">
      <w:pPr>
        <w:pStyle w:val="Odlomakpopisa"/>
        <w:numPr>
          <w:ilvl w:val="0"/>
          <w:numId w:val="3"/>
        </w:numPr>
        <w:spacing w:line="276" w:lineRule="auto"/>
        <w:ind w:left="720"/>
        <w:jc w:val="both"/>
        <w:rPr>
          <w:rFonts w:eastAsiaTheme="minorEastAsia" w:cstheme="minorHAnsi"/>
          <w:color w:val="222222"/>
        </w:rPr>
      </w:pPr>
      <w:r>
        <w:rPr>
          <w:rFonts w:cstheme="minorHAnsi"/>
        </w:rPr>
        <w:t xml:space="preserve">Relevantne strateške smjernice na nacionalnoj i nadnacionalnoj razini (Nacionalna razvojna strategija do 2030.g., </w:t>
      </w:r>
      <w:r>
        <w:t xml:space="preserve">Strategija prilagodbe klimatskim promjenama u Republici Hrvatskoj za razdoblje do 2040. godine s pogledom na 2070. godinu (NN 46/20); Strategija niskougljičnog </w:t>
      </w:r>
      <w:r>
        <w:lastRenderedPageBreak/>
        <w:t xml:space="preserve">razvoja </w:t>
      </w:r>
      <w:r w:rsidRPr="00AC601D">
        <w:t>do 2030. godine sa pogledom na 2050. godinu (N</w:t>
      </w:r>
      <w:r>
        <w:t>N</w:t>
      </w:r>
      <w:r w:rsidRPr="00AC601D">
        <w:t xml:space="preserve"> 63/21); Ciljevi održivog razvoja (SDG /Sustainable development goals) i dr.</w:t>
      </w:r>
    </w:p>
    <w:p w14:paraId="47608CE4" w14:textId="77777777" w:rsidR="0046158F" w:rsidRPr="00AC601D" w:rsidRDefault="0046158F" w:rsidP="0046158F">
      <w:pPr>
        <w:pStyle w:val="Odlomakpopisa"/>
        <w:numPr>
          <w:ilvl w:val="0"/>
          <w:numId w:val="3"/>
        </w:numPr>
        <w:spacing w:line="276" w:lineRule="auto"/>
        <w:ind w:left="720"/>
        <w:jc w:val="both"/>
        <w:rPr>
          <w:rFonts w:eastAsiaTheme="minorEastAsia" w:cstheme="minorHAnsi"/>
          <w:color w:val="222222"/>
        </w:rPr>
      </w:pPr>
      <w:r w:rsidRPr="00AC601D">
        <w:rPr>
          <w:rFonts w:eastAsiaTheme="minorEastAsia" w:cstheme="minorHAnsi"/>
          <w:bCs/>
          <w:iCs/>
          <w:color w:val="222222"/>
        </w:rPr>
        <w:t>Strategija poljoprivrede do 2030</w:t>
      </w:r>
      <w:r w:rsidRPr="00AC601D">
        <w:rPr>
          <w:rFonts w:eastAsiaTheme="minorEastAsia" w:cstheme="minorHAnsi"/>
          <w:iCs/>
          <w:color w:val="222222"/>
        </w:rPr>
        <w:t xml:space="preserve">. </w:t>
      </w:r>
      <w:r w:rsidRPr="00AC601D">
        <w:rPr>
          <w:rFonts w:eastAsiaTheme="minorEastAsia" w:cstheme="minorHAnsi"/>
          <w:color w:val="222222"/>
        </w:rPr>
        <w:t>(</w:t>
      </w:r>
      <w:r>
        <w:rPr>
          <w:rFonts w:eastAsiaTheme="minorEastAsia" w:cstheme="minorHAnsi"/>
          <w:color w:val="222222"/>
        </w:rPr>
        <w:t>NN</w:t>
      </w:r>
      <w:r w:rsidRPr="00AC601D">
        <w:rPr>
          <w:rFonts w:eastAsiaTheme="minorEastAsia" w:cstheme="minorHAnsi"/>
          <w:color w:val="222222"/>
        </w:rPr>
        <w:t xml:space="preserve"> 26/22) </w:t>
      </w:r>
      <w:r>
        <w:rPr>
          <w:rFonts w:eastAsiaTheme="minorEastAsia" w:cstheme="minorHAnsi"/>
          <w:color w:val="222222"/>
        </w:rPr>
        <w:t xml:space="preserve">- </w:t>
      </w:r>
      <w:r w:rsidRPr="00AC601D">
        <w:rPr>
          <w:rFonts w:eastAsiaTheme="minorEastAsia" w:cstheme="minorHAnsi"/>
          <w:color w:val="222222"/>
        </w:rPr>
        <w:t xml:space="preserve"> predviđen</w:t>
      </w:r>
      <w:r>
        <w:rPr>
          <w:rFonts w:eastAsiaTheme="minorEastAsia" w:cstheme="minorHAnsi"/>
          <w:color w:val="222222"/>
        </w:rPr>
        <w:t xml:space="preserve"> je</w:t>
      </w:r>
      <w:r w:rsidRPr="00AC601D">
        <w:rPr>
          <w:rFonts w:eastAsiaTheme="minorEastAsia" w:cstheme="minorHAnsi"/>
          <w:color w:val="222222"/>
        </w:rPr>
        <w:t xml:space="preserve"> provedbeni mehanizam E.2 „Razvoj i provedba nacionalne strategije biogospodarstva“.  </w:t>
      </w:r>
    </w:p>
    <w:p w14:paraId="5E09EB15" w14:textId="77777777" w:rsidR="0046158F" w:rsidRPr="001270E2" w:rsidRDefault="0046158F" w:rsidP="0046158F">
      <w:pPr>
        <w:pStyle w:val="Odlomakpopisa"/>
        <w:numPr>
          <w:ilvl w:val="0"/>
          <w:numId w:val="3"/>
        </w:numPr>
        <w:spacing w:line="276" w:lineRule="auto"/>
        <w:ind w:left="720"/>
        <w:jc w:val="both"/>
        <w:rPr>
          <w:rFonts w:eastAsiaTheme="minorEastAsia" w:cstheme="minorHAnsi"/>
          <w:color w:val="222222"/>
        </w:rPr>
      </w:pPr>
      <w:r w:rsidRPr="00AC601D">
        <w:rPr>
          <w:rFonts w:eastAsiaTheme="minorEastAsia" w:cstheme="minorHAnsi"/>
          <w:bCs/>
          <w:iCs/>
          <w:color w:val="222222"/>
        </w:rPr>
        <w:t>Strategija pametne specijalizacije Republike Hrvatske za razdoblje od 2016. do 2020. godine</w:t>
      </w:r>
      <w:r>
        <w:rPr>
          <w:rFonts w:eastAsiaTheme="minorEastAsia" w:cstheme="minorHAnsi"/>
          <w:bCs/>
          <w:iCs/>
          <w:color w:val="222222"/>
        </w:rPr>
        <w:t xml:space="preserve"> te </w:t>
      </w:r>
      <w:r w:rsidRPr="00AC601D">
        <w:rPr>
          <w:rFonts w:eastAsiaTheme="minorEastAsia" w:cstheme="minorHAnsi"/>
          <w:bCs/>
          <w:iCs/>
          <w:color w:val="222222"/>
        </w:rPr>
        <w:t>Strategija pametne specijalizacije</w:t>
      </w:r>
      <w:r>
        <w:rPr>
          <w:rFonts w:eastAsiaTheme="minorEastAsia" w:cstheme="minorHAnsi"/>
          <w:bCs/>
          <w:iCs/>
          <w:color w:val="222222"/>
        </w:rPr>
        <w:t xml:space="preserve"> do 2029.</w:t>
      </w:r>
    </w:p>
    <w:p w14:paraId="3D8C5FD1" w14:textId="77777777" w:rsidR="0046158F" w:rsidRPr="00AC7D3B" w:rsidRDefault="0046158F" w:rsidP="0046158F">
      <w:pPr>
        <w:pStyle w:val="Odlomakpopisa"/>
        <w:numPr>
          <w:ilvl w:val="0"/>
          <w:numId w:val="3"/>
        </w:numPr>
        <w:spacing w:line="276" w:lineRule="auto"/>
        <w:ind w:left="720"/>
        <w:jc w:val="both"/>
        <w:rPr>
          <w:rFonts w:eastAsiaTheme="minorEastAsia" w:cstheme="minorHAnsi"/>
          <w:color w:val="222222"/>
        </w:rPr>
      </w:pPr>
      <w:r w:rsidRPr="001270E2">
        <w:rPr>
          <w:rFonts w:eastAsiaTheme="minorEastAsia" w:cstheme="minorHAnsi"/>
          <w:color w:val="222222"/>
        </w:rPr>
        <w:t xml:space="preserve">Relevantni </w:t>
      </w:r>
      <w:r w:rsidRPr="00AC7D3B">
        <w:rPr>
          <w:rFonts w:eastAsiaTheme="minorEastAsia" w:cstheme="minorHAnsi"/>
          <w:color w:val="222222"/>
        </w:rPr>
        <w:t xml:space="preserve">dokumenti na europskoj razini poput Strategiji biogospodarstva Europske unije iz 2018. godine, Strategija „od polja do stola“ EU, </w:t>
      </w:r>
      <w:r w:rsidRPr="00AC7D3B">
        <w:rPr>
          <w:rFonts w:eastAsia="Calibri" w:cs="Times New Roman"/>
          <w:szCs w:val="24"/>
        </w:rPr>
        <w:t xml:space="preserve">Dugoročna vizija za ruralna područja EU-a, Strategija EU-a za šume, Strategiji EU-a za plastiku i slično. </w:t>
      </w:r>
    </w:p>
    <w:p w14:paraId="4D44B0F0" w14:textId="77777777" w:rsidR="0046158F" w:rsidRPr="00AC7D3B" w:rsidRDefault="0046158F" w:rsidP="0046158F">
      <w:pPr>
        <w:pStyle w:val="Odlomakpopisa"/>
        <w:numPr>
          <w:ilvl w:val="0"/>
          <w:numId w:val="3"/>
        </w:numPr>
        <w:spacing w:line="276" w:lineRule="auto"/>
        <w:ind w:left="720"/>
        <w:jc w:val="both"/>
        <w:rPr>
          <w:rFonts w:eastAsiaTheme="minorEastAsia" w:cstheme="minorHAnsi"/>
          <w:color w:val="222222"/>
        </w:rPr>
      </w:pPr>
      <w:r w:rsidRPr="00AC7D3B">
        <w:rPr>
          <w:rFonts w:eastAsiaTheme="minorEastAsia" w:cstheme="minorHAnsi"/>
          <w:color w:val="222222"/>
        </w:rPr>
        <w:t xml:space="preserve">Planovi razvoja na lokalnoj i regionalnoj razini </w:t>
      </w:r>
    </w:p>
    <w:p w14:paraId="50C456A3" w14:textId="77777777" w:rsidR="0046158F" w:rsidRPr="00CB4120" w:rsidRDefault="0046158F" w:rsidP="006F5DBB">
      <w:pPr>
        <w:pStyle w:val="Tekstkomentara"/>
        <w:spacing w:line="259" w:lineRule="auto"/>
        <w:jc w:val="both"/>
        <w:rPr>
          <w:rFonts w:cstheme="minorHAnsi"/>
          <w:sz w:val="22"/>
          <w:szCs w:val="22"/>
        </w:rPr>
      </w:pPr>
    </w:p>
    <w:p w14:paraId="350BCAF0" w14:textId="77777777" w:rsidR="006F5DBB" w:rsidRPr="0046158F" w:rsidRDefault="006F5DBB" w:rsidP="006F5DBB">
      <w:pPr>
        <w:pStyle w:val="Tekstkomentara"/>
        <w:spacing w:line="259" w:lineRule="auto"/>
        <w:jc w:val="both"/>
        <w:rPr>
          <w:rFonts w:asciiTheme="majorHAnsi" w:hAnsiTheme="majorHAnsi" w:cstheme="majorHAnsi"/>
          <w:b/>
          <w:color w:val="0070C0"/>
          <w:sz w:val="24"/>
          <w:szCs w:val="24"/>
          <w:u w:val="single"/>
        </w:rPr>
      </w:pPr>
      <w:r w:rsidRPr="0046158F">
        <w:rPr>
          <w:rFonts w:asciiTheme="majorHAnsi" w:hAnsiTheme="majorHAnsi" w:cstheme="majorHAnsi"/>
          <w:b/>
          <w:color w:val="0070C0"/>
          <w:sz w:val="24"/>
          <w:szCs w:val="24"/>
          <w:u w:val="single"/>
        </w:rPr>
        <w:t xml:space="preserve">Moguća ograničenja metodološkog pristupa </w:t>
      </w:r>
    </w:p>
    <w:p w14:paraId="2075210C" w14:textId="77777777" w:rsidR="006F5DBB" w:rsidRPr="00F50531" w:rsidRDefault="006F5DBB" w:rsidP="006F5DBB">
      <w:pPr>
        <w:spacing w:after="0" w:line="276" w:lineRule="auto"/>
        <w:jc w:val="both"/>
        <w:rPr>
          <w:rFonts w:cstheme="minorHAnsi"/>
        </w:rPr>
      </w:pPr>
    </w:p>
    <w:p w14:paraId="05E65592" w14:textId="6C056F8E" w:rsidR="00020C4F" w:rsidRDefault="006F5DBB" w:rsidP="00C00A55">
      <w:pPr>
        <w:spacing w:after="0" w:line="276" w:lineRule="auto"/>
        <w:ind w:left="720"/>
        <w:jc w:val="both"/>
        <w:rPr>
          <w:rFonts w:cstheme="minorHAnsi"/>
        </w:rPr>
      </w:pPr>
      <w:r>
        <w:rPr>
          <w:rFonts w:cstheme="minorHAnsi"/>
        </w:rPr>
        <w:t>Primjena prethodno obrazloženog metodološkog pristupa često podrazumijeva i moguće probleme i ograničenja. Oni su prikazani u sljedećoj tablici:</w:t>
      </w:r>
      <w:r w:rsidR="00020C4F" w:rsidRPr="00020C4F">
        <w:rPr>
          <w:rFonts w:cstheme="minorHAnsi"/>
        </w:rPr>
        <w:t xml:space="preserve"> </w:t>
      </w:r>
    </w:p>
    <w:p w14:paraId="706D6986" w14:textId="77777777" w:rsidR="00020C4F" w:rsidRPr="00F50531" w:rsidRDefault="00020C4F" w:rsidP="00020C4F">
      <w:pPr>
        <w:spacing w:after="0" w:line="276" w:lineRule="auto"/>
        <w:jc w:val="both"/>
        <w:rPr>
          <w:rFonts w:cstheme="minorHAnsi"/>
        </w:rPr>
      </w:pPr>
    </w:p>
    <w:tbl>
      <w:tblPr>
        <w:tblStyle w:val="Reetkatablice"/>
        <w:tblW w:w="0" w:type="auto"/>
        <w:tblLook w:val="04A0" w:firstRow="1" w:lastRow="0" w:firstColumn="1" w:lastColumn="0" w:noHBand="0" w:noVBand="1"/>
      </w:tblPr>
      <w:tblGrid>
        <w:gridCol w:w="2827"/>
        <w:gridCol w:w="1351"/>
        <w:gridCol w:w="1062"/>
        <w:gridCol w:w="4156"/>
      </w:tblGrid>
      <w:tr w:rsidR="00020C4F" w:rsidRPr="002E6175" w14:paraId="7F657F94" w14:textId="77777777" w:rsidTr="00736350">
        <w:tc>
          <w:tcPr>
            <w:tcW w:w="2827" w:type="dxa"/>
            <w:shd w:val="clear" w:color="auto" w:fill="auto"/>
            <w:hideMark/>
          </w:tcPr>
          <w:p w14:paraId="30762F52" w14:textId="77777777" w:rsidR="00020C4F" w:rsidRPr="002E6175" w:rsidRDefault="00020C4F" w:rsidP="00736350">
            <w:pPr>
              <w:spacing w:line="276" w:lineRule="auto"/>
              <w:jc w:val="center"/>
              <w:rPr>
                <w:rFonts w:cstheme="minorHAnsi"/>
                <w:b/>
              </w:rPr>
            </w:pPr>
            <w:r w:rsidRPr="002E6175">
              <w:rPr>
                <w:rFonts w:cstheme="minorHAnsi"/>
                <w:b/>
              </w:rPr>
              <w:t>Rizici</w:t>
            </w:r>
          </w:p>
        </w:tc>
        <w:tc>
          <w:tcPr>
            <w:tcW w:w="1351" w:type="dxa"/>
            <w:shd w:val="clear" w:color="auto" w:fill="auto"/>
            <w:hideMark/>
          </w:tcPr>
          <w:p w14:paraId="41021729" w14:textId="77777777" w:rsidR="00020C4F" w:rsidRPr="002E6175" w:rsidRDefault="00020C4F" w:rsidP="00736350">
            <w:pPr>
              <w:spacing w:line="276" w:lineRule="auto"/>
              <w:jc w:val="center"/>
              <w:rPr>
                <w:rFonts w:cstheme="minorHAnsi"/>
                <w:b/>
              </w:rPr>
            </w:pPr>
            <w:r w:rsidRPr="002E6175">
              <w:rPr>
                <w:rFonts w:cstheme="minorHAnsi"/>
                <w:b/>
              </w:rPr>
              <w:t>Vjerojatnost</w:t>
            </w:r>
          </w:p>
        </w:tc>
        <w:tc>
          <w:tcPr>
            <w:tcW w:w="1062" w:type="dxa"/>
            <w:shd w:val="clear" w:color="auto" w:fill="auto"/>
            <w:hideMark/>
          </w:tcPr>
          <w:p w14:paraId="083F467B" w14:textId="77777777" w:rsidR="00020C4F" w:rsidRPr="002E6175" w:rsidRDefault="00020C4F" w:rsidP="00736350">
            <w:pPr>
              <w:spacing w:line="276" w:lineRule="auto"/>
              <w:jc w:val="center"/>
              <w:rPr>
                <w:rFonts w:cstheme="minorHAnsi"/>
                <w:b/>
              </w:rPr>
            </w:pPr>
            <w:r w:rsidRPr="002E6175">
              <w:rPr>
                <w:rFonts w:cstheme="minorHAnsi"/>
                <w:b/>
              </w:rPr>
              <w:t>Učinak</w:t>
            </w:r>
          </w:p>
        </w:tc>
        <w:tc>
          <w:tcPr>
            <w:tcW w:w="4156" w:type="dxa"/>
            <w:shd w:val="clear" w:color="auto" w:fill="auto"/>
            <w:hideMark/>
          </w:tcPr>
          <w:p w14:paraId="7E7F9434" w14:textId="77777777" w:rsidR="00020C4F" w:rsidRPr="002E6175" w:rsidRDefault="00020C4F" w:rsidP="00736350">
            <w:pPr>
              <w:spacing w:line="276" w:lineRule="auto"/>
              <w:jc w:val="center"/>
              <w:rPr>
                <w:rFonts w:cstheme="minorHAnsi"/>
                <w:b/>
              </w:rPr>
            </w:pPr>
            <w:r w:rsidRPr="002E6175">
              <w:rPr>
                <w:rFonts w:cstheme="minorHAnsi"/>
                <w:b/>
              </w:rPr>
              <w:t>Mjere ublažavanja</w:t>
            </w:r>
          </w:p>
        </w:tc>
      </w:tr>
      <w:tr w:rsidR="00020C4F" w:rsidRPr="002E6175" w14:paraId="24A9AEB0" w14:textId="77777777" w:rsidTr="00736350">
        <w:trPr>
          <w:trHeight w:val="774"/>
        </w:trPr>
        <w:tc>
          <w:tcPr>
            <w:tcW w:w="2827" w:type="dxa"/>
            <w:shd w:val="clear" w:color="auto" w:fill="FFFFFF" w:themeFill="background1"/>
            <w:hideMark/>
          </w:tcPr>
          <w:p w14:paraId="73DC5829" w14:textId="77777777" w:rsidR="00020C4F" w:rsidRPr="00F87286" w:rsidRDefault="00020C4F" w:rsidP="00736350">
            <w:pPr>
              <w:spacing w:line="276" w:lineRule="auto"/>
              <w:rPr>
                <w:rFonts w:cstheme="minorHAnsi"/>
                <w:sz w:val="18"/>
                <w:szCs w:val="18"/>
              </w:rPr>
            </w:pPr>
            <w:r w:rsidRPr="00F87286">
              <w:rPr>
                <w:rFonts w:cstheme="minorHAnsi"/>
                <w:sz w:val="18"/>
                <w:szCs w:val="18"/>
              </w:rPr>
              <w:t>Kašnjenje s dostavom dalj</w:t>
            </w:r>
            <w:r>
              <w:rPr>
                <w:rFonts w:cstheme="minorHAnsi"/>
                <w:sz w:val="18"/>
                <w:szCs w:val="18"/>
              </w:rPr>
              <w:t>njih verzija Nacrta Strategije</w:t>
            </w:r>
          </w:p>
        </w:tc>
        <w:tc>
          <w:tcPr>
            <w:tcW w:w="1351" w:type="dxa"/>
          </w:tcPr>
          <w:p w14:paraId="672EFF6C"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Srednja</w:t>
            </w:r>
          </w:p>
        </w:tc>
        <w:tc>
          <w:tcPr>
            <w:tcW w:w="1062" w:type="dxa"/>
            <w:hideMark/>
          </w:tcPr>
          <w:p w14:paraId="1109CD0C"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Jak</w:t>
            </w:r>
          </w:p>
        </w:tc>
        <w:tc>
          <w:tcPr>
            <w:tcW w:w="4156" w:type="dxa"/>
            <w:hideMark/>
          </w:tcPr>
          <w:p w14:paraId="400BEDAC" w14:textId="77777777" w:rsidR="00020C4F" w:rsidRPr="00F87286" w:rsidRDefault="00020C4F" w:rsidP="00736350">
            <w:pPr>
              <w:spacing w:line="276" w:lineRule="auto"/>
              <w:rPr>
                <w:rFonts w:cstheme="minorHAnsi"/>
                <w:sz w:val="18"/>
                <w:szCs w:val="18"/>
              </w:rPr>
            </w:pPr>
            <w:r>
              <w:rPr>
                <w:rFonts w:cstheme="minorHAnsi"/>
                <w:sz w:val="18"/>
                <w:szCs w:val="18"/>
              </w:rPr>
              <w:t xml:space="preserve">Stalne </w:t>
            </w:r>
            <w:r w:rsidRPr="00F87286">
              <w:rPr>
                <w:rFonts w:cstheme="minorHAnsi"/>
                <w:sz w:val="18"/>
                <w:szCs w:val="18"/>
              </w:rPr>
              <w:t xml:space="preserve">konzultacije s  </w:t>
            </w:r>
            <w:r>
              <w:rPr>
                <w:rFonts w:cstheme="minorHAnsi"/>
                <w:sz w:val="18"/>
                <w:szCs w:val="18"/>
              </w:rPr>
              <w:t>Naručiteljem</w:t>
            </w:r>
            <w:r w:rsidRPr="00F87286">
              <w:rPr>
                <w:rFonts w:cstheme="minorHAnsi"/>
                <w:sz w:val="18"/>
                <w:szCs w:val="18"/>
              </w:rPr>
              <w:t xml:space="preserve"> u svrhu</w:t>
            </w:r>
            <w:r>
              <w:rPr>
                <w:rFonts w:cstheme="minorHAnsi"/>
                <w:sz w:val="18"/>
                <w:szCs w:val="18"/>
              </w:rPr>
              <w:t xml:space="preserve"> </w:t>
            </w:r>
            <w:r w:rsidRPr="00F87286">
              <w:rPr>
                <w:rFonts w:cstheme="minorHAnsi"/>
                <w:sz w:val="18"/>
                <w:szCs w:val="18"/>
              </w:rPr>
              <w:t xml:space="preserve"> razumijevanja važnosti pridržavanja zadanih rokova za izr</w:t>
            </w:r>
            <w:r>
              <w:rPr>
                <w:rFonts w:cstheme="minorHAnsi"/>
                <w:sz w:val="18"/>
                <w:szCs w:val="18"/>
              </w:rPr>
              <w:t>adu daljnjih verzija Nacrta Strategije.</w:t>
            </w:r>
          </w:p>
        </w:tc>
      </w:tr>
      <w:tr w:rsidR="00020C4F" w:rsidRPr="002E6175" w14:paraId="53465E34" w14:textId="77777777" w:rsidTr="00736350">
        <w:tc>
          <w:tcPr>
            <w:tcW w:w="2827" w:type="dxa"/>
            <w:shd w:val="clear" w:color="auto" w:fill="FFFFFF" w:themeFill="background1"/>
            <w:hideMark/>
          </w:tcPr>
          <w:p w14:paraId="1C9F4931" w14:textId="4AA146CD" w:rsidR="00020C4F" w:rsidRPr="00F87286" w:rsidRDefault="00020C4F" w:rsidP="00736350">
            <w:pPr>
              <w:spacing w:line="276" w:lineRule="auto"/>
              <w:rPr>
                <w:rFonts w:cstheme="minorHAnsi"/>
                <w:sz w:val="18"/>
                <w:szCs w:val="18"/>
              </w:rPr>
            </w:pPr>
            <w:r w:rsidRPr="00F87286">
              <w:rPr>
                <w:rFonts w:cstheme="minorHAnsi"/>
                <w:sz w:val="18"/>
                <w:szCs w:val="18"/>
              </w:rPr>
              <w:t>Problemi s pribavljanjem</w:t>
            </w:r>
            <w:r>
              <w:rPr>
                <w:rFonts w:cstheme="minorHAnsi"/>
                <w:sz w:val="18"/>
                <w:szCs w:val="18"/>
              </w:rPr>
              <w:t xml:space="preserve"> </w:t>
            </w:r>
            <w:r w:rsidRPr="00F87286">
              <w:rPr>
                <w:rFonts w:cstheme="minorHAnsi"/>
                <w:sz w:val="18"/>
                <w:szCs w:val="18"/>
              </w:rPr>
              <w:t>relevantnih dokumenata i podataka</w:t>
            </w:r>
          </w:p>
        </w:tc>
        <w:tc>
          <w:tcPr>
            <w:tcW w:w="1351" w:type="dxa"/>
            <w:hideMark/>
          </w:tcPr>
          <w:p w14:paraId="25C79992"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 xml:space="preserve">Niska </w:t>
            </w:r>
          </w:p>
        </w:tc>
        <w:tc>
          <w:tcPr>
            <w:tcW w:w="1062" w:type="dxa"/>
            <w:hideMark/>
          </w:tcPr>
          <w:p w14:paraId="755B356D"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Jak</w:t>
            </w:r>
          </w:p>
        </w:tc>
        <w:tc>
          <w:tcPr>
            <w:tcW w:w="4156" w:type="dxa"/>
            <w:hideMark/>
          </w:tcPr>
          <w:p w14:paraId="471D8A10" w14:textId="77777777" w:rsidR="00020C4F" w:rsidRPr="00F87286" w:rsidRDefault="00020C4F" w:rsidP="00736350">
            <w:pPr>
              <w:spacing w:line="276" w:lineRule="auto"/>
              <w:rPr>
                <w:rFonts w:cstheme="minorHAnsi"/>
                <w:sz w:val="18"/>
                <w:szCs w:val="18"/>
              </w:rPr>
            </w:pPr>
            <w:r w:rsidRPr="00F87286">
              <w:rPr>
                <w:rFonts w:cstheme="minorHAnsi"/>
                <w:sz w:val="18"/>
                <w:szCs w:val="18"/>
              </w:rPr>
              <w:t xml:space="preserve">Rano identificiranje ključnih dokumenata od strane tima za vrednovanje te stalna komunikacija i konzultacije s </w:t>
            </w:r>
            <w:r>
              <w:rPr>
                <w:rFonts w:cstheme="minorHAnsi"/>
                <w:sz w:val="18"/>
                <w:szCs w:val="18"/>
              </w:rPr>
              <w:t>N</w:t>
            </w:r>
            <w:r w:rsidRPr="00F87286">
              <w:rPr>
                <w:rFonts w:cstheme="minorHAnsi"/>
                <w:sz w:val="18"/>
                <w:szCs w:val="18"/>
              </w:rPr>
              <w:t>aručiteljem u početnoj fazi</w:t>
            </w:r>
            <w:r>
              <w:rPr>
                <w:rFonts w:cstheme="minorHAnsi"/>
                <w:sz w:val="18"/>
                <w:szCs w:val="18"/>
              </w:rPr>
              <w:t xml:space="preserve"> </w:t>
            </w:r>
            <w:r w:rsidRPr="00F87286">
              <w:rPr>
                <w:rFonts w:cstheme="minorHAnsi"/>
                <w:sz w:val="18"/>
                <w:szCs w:val="18"/>
              </w:rPr>
              <w:t>realizacije postupka vrednovanja.</w:t>
            </w:r>
          </w:p>
        </w:tc>
      </w:tr>
      <w:tr w:rsidR="00020C4F" w:rsidRPr="002E6175" w14:paraId="032606CB" w14:textId="77777777" w:rsidTr="00736350">
        <w:tc>
          <w:tcPr>
            <w:tcW w:w="2827" w:type="dxa"/>
            <w:shd w:val="clear" w:color="auto" w:fill="FFFFFF" w:themeFill="background1"/>
            <w:hideMark/>
          </w:tcPr>
          <w:p w14:paraId="4D98DB4A" w14:textId="113FB18F" w:rsidR="00020C4F" w:rsidRPr="00F87286" w:rsidRDefault="00020C4F" w:rsidP="00736350">
            <w:pPr>
              <w:spacing w:line="276" w:lineRule="auto"/>
              <w:rPr>
                <w:rFonts w:cstheme="minorHAnsi"/>
                <w:sz w:val="18"/>
                <w:szCs w:val="18"/>
              </w:rPr>
            </w:pPr>
            <w:r w:rsidRPr="00F87286">
              <w:rPr>
                <w:rFonts w:cstheme="minorHAnsi"/>
                <w:sz w:val="18"/>
                <w:szCs w:val="18"/>
              </w:rPr>
              <w:t>Ograničen broj sudionika u planiranim razgovo</w:t>
            </w:r>
            <w:r>
              <w:rPr>
                <w:rFonts w:cstheme="minorHAnsi"/>
                <w:sz w:val="18"/>
                <w:szCs w:val="18"/>
              </w:rPr>
              <w:t>rima; neadekvatna suradnja s N</w:t>
            </w:r>
            <w:r w:rsidRPr="00F87286">
              <w:rPr>
                <w:rFonts w:cstheme="minorHAnsi"/>
                <w:sz w:val="18"/>
                <w:szCs w:val="18"/>
              </w:rPr>
              <w:t>aručiteljem</w:t>
            </w:r>
            <w:r>
              <w:rPr>
                <w:rFonts w:cstheme="minorHAnsi"/>
                <w:sz w:val="18"/>
                <w:szCs w:val="18"/>
              </w:rPr>
              <w:t xml:space="preserve">, ujedno i izrađivačem </w:t>
            </w:r>
            <w:r w:rsidR="00B87D94" w:rsidRPr="00B87D94">
              <w:rPr>
                <w:rFonts w:cstheme="minorHAnsi"/>
                <w:sz w:val="20"/>
                <w:szCs w:val="20"/>
              </w:rPr>
              <w:t>Nacrta</w:t>
            </w:r>
            <w:r w:rsidR="00B87D94" w:rsidRPr="00154905">
              <w:rPr>
                <w:rFonts w:cstheme="minorHAnsi"/>
              </w:rPr>
              <w:t xml:space="preserve"> </w:t>
            </w:r>
            <w:r>
              <w:rPr>
                <w:rFonts w:cstheme="minorHAnsi"/>
                <w:sz w:val="18"/>
                <w:szCs w:val="18"/>
              </w:rPr>
              <w:t>Strategije</w:t>
            </w:r>
          </w:p>
        </w:tc>
        <w:tc>
          <w:tcPr>
            <w:tcW w:w="1351" w:type="dxa"/>
            <w:shd w:val="clear" w:color="auto" w:fill="FFFFFF" w:themeFill="background1"/>
          </w:tcPr>
          <w:p w14:paraId="7C217D05"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Niska</w:t>
            </w:r>
          </w:p>
          <w:p w14:paraId="2BC63289" w14:textId="77777777" w:rsidR="00020C4F" w:rsidRPr="00F87286" w:rsidRDefault="00020C4F" w:rsidP="00736350">
            <w:pPr>
              <w:spacing w:line="276" w:lineRule="auto"/>
              <w:jc w:val="center"/>
              <w:rPr>
                <w:rFonts w:cstheme="minorHAnsi"/>
                <w:sz w:val="18"/>
                <w:szCs w:val="18"/>
              </w:rPr>
            </w:pPr>
          </w:p>
        </w:tc>
        <w:tc>
          <w:tcPr>
            <w:tcW w:w="1062" w:type="dxa"/>
            <w:shd w:val="clear" w:color="auto" w:fill="FFFFFF" w:themeFill="background1"/>
          </w:tcPr>
          <w:p w14:paraId="6D8D8636"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Umjeren</w:t>
            </w:r>
          </w:p>
          <w:p w14:paraId="6962BAA7" w14:textId="77777777" w:rsidR="00020C4F" w:rsidRPr="00F87286" w:rsidRDefault="00020C4F" w:rsidP="00736350">
            <w:pPr>
              <w:spacing w:line="276" w:lineRule="auto"/>
              <w:jc w:val="center"/>
              <w:rPr>
                <w:rFonts w:cstheme="minorHAnsi"/>
                <w:sz w:val="18"/>
                <w:szCs w:val="18"/>
              </w:rPr>
            </w:pPr>
          </w:p>
        </w:tc>
        <w:tc>
          <w:tcPr>
            <w:tcW w:w="4156" w:type="dxa"/>
            <w:shd w:val="clear" w:color="auto" w:fill="FFFFFF" w:themeFill="background1"/>
            <w:hideMark/>
          </w:tcPr>
          <w:p w14:paraId="0B9F8E62" w14:textId="77777777" w:rsidR="00020C4F" w:rsidRPr="00F87286" w:rsidRDefault="00020C4F" w:rsidP="00736350">
            <w:pPr>
              <w:spacing w:line="276" w:lineRule="auto"/>
              <w:rPr>
                <w:rFonts w:cstheme="minorHAnsi"/>
                <w:sz w:val="18"/>
                <w:szCs w:val="18"/>
              </w:rPr>
            </w:pPr>
            <w:r w:rsidRPr="00F87286">
              <w:rPr>
                <w:rFonts w:cstheme="minorHAnsi"/>
                <w:sz w:val="18"/>
                <w:szCs w:val="18"/>
              </w:rPr>
              <w:t>Dobro vremensko planiranje, stalna komunikacija i konz</w:t>
            </w:r>
            <w:r>
              <w:rPr>
                <w:rFonts w:cstheme="minorHAnsi"/>
                <w:sz w:val="18"/>
                <w:szCs w:val="18"/>
              </w:rPr>
              <w:t xml:space="preserve">ultacije s Naručiteljem, </w:t>
            </w:r>
            <w:r w:rsidRPr="00F87286">
              <w:rPr>
                <w:rFonts w:cstheme="minorHAnsi"/>
                <w:sz w:val="18"/>
                <w:szCs w:val="18"/>
              </w:rPr>
              <w:t xml:space="preserve">dobra suradnja i </w:t>
            </w:r>
            <w:r>
              <w:rPr>
                <w:rFonts w:cstheme="minorHAnsi"/>
                <w:sz w:val="18"/>
                <w:szCs w:val="18"/>
              </w:rPr>
              <w:t>postignuta razina povjerenja</w:t>
            </w:r>
            <w:r w:rsidRPr="00F87286">
              <w:rPr>
                <w:rFonts w:cstheme="minorHAnsi"/>
                <w:sz w:val="18"/>
                <w:szCs w:val="18"/>
              </w:rPr>
              <w:t xml:space="preserve"> od strane svih uključenih</w:t>
            </w:r>
            <w:r>
              <w:rPr>
                <w:rFonts w:cstheme="minorHAnsi"/>
                <w:sz w:val="18"/>
                <w:szCs w:val="18"/>
              </w:rPr>
              <w:t>.</w:t>
            </w:r>
          </w:p>
        </w:tc>
      </w:tr>
    </w:tbl>
    <w:p w14:paraId="64DF4E45" w14:textId="77777777" w:rsidR="00020C4F" w:rsidRDefault="00020C4F" w:rsidP="00020C4F">
      <w:pPr>
        <w:spacing w:after="0" w:line="276" w:lineRule="auto"/>
        <w:rPr>
          <w:rFonts w:cstheme="minorHAnsi"/>
        </w:rPr>
      </w:pPr>
    </w:p>
    <w:p w14:paraId="65CA9392" w14:textId="77777777" w:rsidR="00020C4F" w:rsidRPr="00B36F48" w:rsidRDefault="00020C4F" w:rsidP="00020C4F">
      <w:pPr>
        <w:spacing w:after="0" w:line="276" w:lineRule="auto"/>
        <w:rPr>
          <w:rFonts w:cstheme="minorHAnsi"/>
        </w:rPr>
      </w:pPr>
    </w:p>
    <w:p w14:paraId="278C251A" w14:textId="56599E0D" w:rsidR="00020C4F" w:rsidRDefault="00020C4F" w:rsidP="00C00A55">
      <w:pPr>
        <w:spacing w:after="0" w:line="276" w:lineRule="auto"/>
        <w:ind w:left="360"/>
        <w:jc w:val="both"/>
        <w:rPr>
          <w:rFonts w:cstheme="minorHAnsi"/>
        </w:rPr>
      </w:pPr>
      <w:r>
        <w:rPr>
          <w:rFonts w:cstheme="minorHAnsi"/>
        </w:rPr>
        <w:t xml:space="preserve">U cjelini gledajući, ključni faktori koji  su pospješili uspješnu primjenu predviđene metodologije te smanjili moguća ograničenja tijekom realizacije postupka prethodnog vrednovanja bili su sljedeći: </w:t>
      </w:r>
    </w:p>
    <w:p w14:paraId="467820D9" w14:textId="77777777" w:rsidR="00020C4F" w:rsidRPr="00215919" w:rsidRDefault="00020C4F" w:rsidP="00020C4F">
      <w:pPr>
        <w:spacing w:after="0" w:line="276" w:lineRule="auto"/>
        <w:jc w:val="both"/>
        <w:rPr>
          <w:rFonts w:cstheme="minorHAnsi"/>
        </w:rPr>
      </w:pPr>
    </w:p>
    <w:p w14:paraId="09910CD6" w14:textId="77777777" w:rsidR="00020C4F" w:rsidRPr="00215919" w:rsidRDefault="00020C4F" w:rsidP="009D0757">
      <w:pPr>
        <w:pStyle w:val="Odlomakpopisa"/>
        <w:numPr>
          <w:ilvl w:val="0"/>
          <w:numId w:val="6"/>
        </w:numPr>
        <w:spacing w:after="0" w:line="276" w:lineRule="auto"/>
        <w:ind w:left="360"/>
        <w:jc w:val="both"/>
        <w:rPr>
          <w:rFonts w:cstheme="minorHAnsi"/>
        </w:rPr>
      </w:pPr>
      <w:r w:rsidRPr="00215919">
        <w:rPr>
          <w:rFonts w:cstheme="minorHAnsi"/>
        </w:rPr>
        <w:t xml:space="preserve">Kontakt podaci svih predviđenih dionika </w:t>
      </w:r>
      <w:r>
        <w:rPr>
          <w:rFonts w:cstheme="minorHAnsi"/>
        </w:rPr>
        <w:t xml:space="preserve">bili </w:t>
      </w:r>
      <w:r w:rsidRPr="00215919">
        <w:rPr>
          <w:rFonts w:cstheme="minorHAnsi"/>
        </w:rPr>
        <w:t>su dostupni stručnjacima za vrednovanje</w:t>
      </w:r>
      <w:r>
        <w:rPr>
          <w:rFonts w:cstheme="minorHAnsi"/>
        </w:rPr>
        <w:t>, čime je  omogućena izravna i dinamična komunikacija tijekom realizacije cijelog postupka vrednovanja</w:t>
      </w:r>
      <w:r w:rsidRPr="00215919">
        <w:rPr>
          <w:rFonts w:cstheme="minorHAnsi"/>
        </w:rPr>
        <w:t>;</w:t>
      </w:r>
    </w:p>
    <w:p w14:paraId="1CA625B7" w14:textId="77777777" w:rsidR="00020C4F" w:rsidRPr="00AC7D3B" w:rsidRDefault="00020C4F" w:rsidP="009D0757">
      <w:pPr>
        <w:pStyle w:val="Odlomakpopisa"/>
        <w:numPr>
          <w:ilvl w:val="0"/>
          <w:numId w:val="6"/>
        </w:numPr>
        <w:spacing w:after="0" w:line="276" w:lineRule="auto"/>
        <w:ind w:left="360"/>
        <w:jc w:val="both"/>
        <w:rPr>
          <w:rFonts w:cstheme="minorHAnsi"/>
        </w:rPr>
      </w:pPr>
      <w:r>
        <w:rPr>
          <w:rFonts w:cstheme="minorHAnsi"/>
        </w:rPr>
        <w:t xml:space="preserve">Naručitelj je razumio svrhu, značaj i doprinos </w:t>
      </w:r>
      <w:r w:rsidRPr="00AC7D3B">
        <w:rPr>
          <w:rFonts w:cstheme="minorHAnsi"/>
        </w:rPr>
        <w:t>vrednovanja;</w:t>
      </w:r>
    </w:p>
    <w:p w14:paraId="2D01AB42" w14:textId="48B9769B" w:rsidR="00020C4F" w:rsidRPr="00AC7D3B" w:rsidRDefault="00020C4F" w:rsidP="009D0757">
      <w:pPr>
        <w:pStyle w:val="Odlomakpopisa"/>
        <w:numPr>
          <w:ilvl w:val="0"/>
          <w:numId w:val="6"/>
        </w:numPr>
        <w:tabs>
          <w:tab w:val="left" w:pos="357"/>
          <w:tab w:val="right" w:leader="dot" w:pos="9072"/>
        </w:tabs>
        <w:spacing w:after="0" w:line="276" w:lineRule="auto"/>
        <w:ind w:left="360"/>
        <w:jc w:val="both"/>
        <w:rPr>
          <w:rFonts w:cstheme="minorHAnsi"/>
        </w:rPr>
      </w:pPr>
      <w:r w:rsidRPr="00AC7D3B">
        <w:rPr>
          <w:rFonts w:cstheme="minorHAnsi"/>
        </w:rPr>
        <w:t xml:space="preserve">Sve potrebne informacije i dokumenti su bili </w:t>
      </w:r>
      <w:r w:rsidR="006665A5">
        <w:rPr>
          <w:rFonts w:cstheme="minorHAnsi"/>
        </w:rPr>
        <w:t xml:space="preserve">pravovremeno </w:t>
      </w:r>
      <w:r w:rsidRPr="00AC7D3B">
        <w:rPr>
          <w:rFonts w:cstheme="minorHAnsi"/>
        </w:rPr>
        <w:t>dostupni timu za vrednovanje;</w:t>
      </w:r>
    </w:p>
    <w:p w14:paraId="3413CB49" w14:textId="66CEE3FB" w:rsidR="00020C4F" w:rsidRPr="00AC7D3B" w:rsidRDefault="00020C4F" w:rsidP="009D0757">
      <w:pPr>
        <w:pStyle w:val="Odlomakpopisa"/>
        <w:numPr>
          <w:ilvl w:val="0"/>
          <w:numId w:val="6"/>
        </w:numPr>
        <w:tabs>
          <w:tab w:val="left" w:pos="357"/>
          <w:tab w:val="right" w:leader="dot" w:pos="9072"/>
        </w:tabs>
        <w:spacing w:after="0" w:line="276" w:lineRule="auto"/>
        <w:ind w:left="360"/>
        <w:jc w:val="both"/>
        <w:rPr>
          <w:rFonts w:cstheme="minorHAnsi"/>
        </w:rPr>
      </w:pPr>
      <w:r w:rsidRPr="00AC7D3B">
        <w:rPr>
          <w:rFonts w:cstheme="minorHAnsi"/>
        </w:rPr>
        <w:t xml:space="preserve">Uspostavljena je bila odlična suradnja </w:t>
      </w:r>
      <w:r w:rsidR="00162A68">
        <w:rPr>
          <w:rFonts w:cstheme="minorHAnsi"/>
        </w:rPr>
        <w:t>članova tima za vrednovanje iz IRMO</w:t>
      </w:r>
      <w:r w:rsidR="006665A5">
        <w:rPr>
          <w:rFonts w:cstheme="minorHAnsi"/>
        </w:rPr>
        <w:t>-a</w:t>
      </w:r>
      <w:r w:rsidR="00162A68">
        <w:rPr>
          <w:rFonts w:cstheme="minorHAnsi"/>
        </w:rPr>
        <w:t xml:space="preserve"> i</w:t>
      </w:r>
      <w:r w:rsidRPr="00AC7D3B">
        <w:rPr>
          <w:rFonts w:cstheme="minorHAnsi"/>
        </w:rPr>
        <w:t xml:space="preserve"> član</w:t>
      </w:r>
      <w:r w:rsidR="00162A68">
        <w:rPr>
          <w:rFonts w:cstheme="minorHAnsi"/>
        </w:rPr>
        <w:t>a</w:t>
      </w:r>
      <w:r w:rsidRPr="00AC7D3B">
        <w:rPr>
          <w:rFonts w:cstheme="minorHAnsi"/>
        </w:rPr>
        <w:t xml:space="preserve"> tima iz Ministarstva poljoprivrede </w:t>
      </w:r>
      <w:r w:rsidR="00162A68">
        <w:rPr>
          <w:rFonts w:cstheme="minorHAnsi"/>
        </w:rPr>
        <w:t>s</w:t>
      </w:r>
      <w:r w:rsidRPr="00AC7D3B">
        <w:rPr>
          <w:rFonts w:cstheme="minorHAnsi"/>
        </w:rPr>
        <w:t xml:space="preserve"> timom koji je izrađivao Strategiju.</w:t>
      </w:r>
    </w:p>
    <w:p w14:paraId="48818441" w14:textId="677E320E" w:rsidR="00020C4F" w:rsidRDefault="00020C4F" w:rsidP="00020C4F">
      <w:pPr>
        <w:spacing w:after="0" w:line="276" w:lineRule="auto"/>
        <w:jc w:val="both"/>
        <w:rPr>
          <w:rFonts w:cstheme="minorHAnsi"/>
          <w:color w:val="2F5496" w:themeColor="accent5" w:themeShade="BF"/>
          <w:sz w:val="28"/>
          <w:szCs w:val="28"/>
        </w:rPr>
      </w:pPr>
    </w:p>
    <w:p w14:paraId="6F533A98" w14:textId="77777777" w:rsidR="005617E7" w:rsidRDefault="005617E7" w:rsidP="00020C4F">
      <w:pPr>
        <w:spacing w:after="0" w:line="276" w:lineRule="auto"/>
        <w:jc w:val="both"/>
        <w:rPr>
          <w:rFonts w:cstheme="minorHAnsi"/>
          <w:color w:val="2F5496" w:themeColor="accent5" w:themeShade="BF"/>
          <w:sz w:val="28"/>
          <w:szCs w:val="28"/>
        </w:rPr>
      </w:pPr>
    </w:p>
    <w:p w14:paraId="627737B4" w14:textId="536F2BDF" w:rsidR="00844412" w:rsidRPr="00224015" w:rsidRDefault="00F67CF9" w:rsidP="00C00A55">
      <w:pPr>
        <w:pStyle w:val="Naslov1"/>
        <w:rPr>
          <w:b/>
        </w:rPr>
      </w:pPr>
      <w:r>
        <w:rPr>
          <w:b/>
        </w:rPr>
        <w:t>5</w:t>
      </w:r>
      <w:r w:rsidR="00844412" w:rsidRPr="00224015">
        <w:rPr>
          <w:b/>
        </w:rPr>
        <w:t>.  NALAZI</w:t>
      </w:r>
    </w:p>
    <w:p w14:paraId="7693B516" w14:textId="77777777" w:rsidR="00224015" w:rsidRDefault="00224015" w:rsidP="00844412">
      <w:pPr>
        <w:spacing w:after="200" w:line="276" w:lineRule="auto"/>
        <w:jc w:val="both"/>
      </w:pPr>
    </w:p>
    <w:p w14:paraId="66458F24" w14:textId="2A0D0733" w:rsidR="00844412" w:rsidRDefault="00844412" w:rsidP="00844412">
      <w:pPr>
        <w:spacing w:after="200" w:line="276" w:lineRule="auto"/>
        <w:jc w:val="both"/>
      </w:pPr>
      <w:r w:rsidRPr="00A963A5">
        <w:t>Svi dijelovi i sve verzije Nacrta</w:t>
      </w:r>
      <w:r w:rsidR="00A963A5" w:rsidRPr="00A963A5">
        <w:t xml:space="preserve"> Strategije </w:t>
      </w:r>
      <w:r w:rsidRPr="00A963A5">
        <w:t xml:space="preserve">pravovremeno su vrednovani, a komentari raspravljeni na sastancima s Izrađivačem. Svi ključni komentari su pismenim putem odaslani Naručitelju. Slijedi prikaz ključnih nalaza tima za vrednovanje kroz odgovore na evaluacijska pitanja u okviru svakog ključnog kriterija vrednovanja. Nalazi su sažetak procesa raspra i komentiranja s </w:t>
      </w:r>
      <w:r w:rsidR="00A963A5" w:rsidRPr="00A963A5">
        <w:t>timom za vrednovanje i</w:t>
      </w:r>
      <w:r w:rsidRPr="00A963A5">
        <w:t xml:space="preserve"> Izrađivačem. </w:t>
      </w:r>
    </w:p>
    <w:p w14:paraId="5512435D" w14:textId="77777777" w:rsidR="00224015" w:rsidRPr="009973AC" w:rsidRDefault="00224015" w:rsidP="00844412">
      <w:pPr>
        <w:spacing w:after="200" w:line="276" w:lineRule="auto"/>
        <w:jc w:val="both"/>
      </w:pPr>
    </w:p>
    <w:p w14:paraId="62143410" w14:textId="77777777" w:rsidR="007948F0" w:rsidRPr="00224015" w:rsidRDefault="007948F0" w:rsidP="007948F0">
      <w:pPr>
        <w:spacing w:after="200" w:line="276" w:lineRule="auto"/>
        <w:jc w:val="both"/>
        <w:rPr>
          <w:rFonts w:cstheme="minorHAnsi"/>
          <w:color w:val="0070C0"/>
          <w:sz w:val="28"/>
          <w:szCs w:val="28"/>
          <w:u w:val="single"/>
        </w:rPr>
      </w:pPr>
      <w:r w:rsidRPr="00224015">
        <w:rPr>
          <w:rFonts w:asciiTheme="majorHAnsi" w:hAnsiTheme="majorHAnsi" w:cstheme="majorHAnsi"/>
          <w:b/>
          <w:bCs/>
          <w:color w:val="0070C0"/>
          <w:sz w:val="28"/>
          <w:szCs w:val="28"/>
        </w:rPr>
        <w:t>Kriterij relevantnost</w:t>
      </w:r>
    </w:p>
    <w:p w14:paraId="3C1E314A" w14:textId="77777777" w:rsidR="007948F0" w:rsidRPr="00224015" w:rsidRDefault="007948F0" w:rsidP="007948F0">
      <w:pPr>
        <w:spacing w:after="200" w:line="276" w:lineRule="auto"/>
        <w:jc w:val="both"/>
        <w:rPr>
          <w:rFonts w:cstheme="minorHAnsi"/>
          <w:b/>
          <w:color w:val="0070C0"/>
        </w:rPr>
      </w:pPr>
      <w:r w:rsidRPr="00224015">
        <w:rPr>
          <w:rFonts w:cstheme="minorHAnsi"/>
          <w:b/>
          <w:color w:val="0070C0"/>
          <w:u w:val="single"/>
        </w:rPr>
        <w:t>Evaluacijsko pitanje 1</w:t>
      </w:r>
      <w:r w:rsidRPr="00224015">
        <w:rPr>
          <w:rFonts w:cstheme="minorHAnsi"/>
          <w:b/>
          <w:color w:val="0070C0"/>
        </w:rPr>
        <w:t>.: Je li analiza stanja potpuna i ukazuje li jasno na ključne razvojne probleme, potrebe i potencijale?</w:t>
      </w:r>
    </w:p>
    <w:p w14:paraId="6D55B7CD" w14:textId="7B4CF8DB" w:rsidR="007948F0" w:rsidRDefault="007948F0" w:rsidP="007948F0">
      <w:pPr>
        <w:spacing w:after="200" w:line="276" w:lineRule="auto"/>
        <w:jc w:val="both"/>
        <w:rPr>
          <w:rFonts w:cstheme="minorHAnsi"/>
        </w:rPr>
      </w:pPr>
      <w:r>
        <w:rPr>
          <w:rFonts w:cstheme="minorHAnsi"/>
        </w:rPr>
        <w:t>T</w:t>
      </w:r>
      <w:r w:rsidRPr="009E2197">
        <w:rPr>
          <w:rFonts w:cstheme="minorHAnsi"/>
        </w:rPr>
        <w:t xml:space="preserve">ijekom vrednovanja analize stanja Strategije </w:t>
      </w:r>
      <w:r>
        <w:rPr>
          <w:rFonts w:cstheme="minorHAnsi"/>
        </w:rPr>
        <w:t>o</w:t>
      </w:r>
      <w:r w:rsidRPr="009E2197">
        <w:rPr>
          <w:rFonts w:cstheme="minorHAnsi"/>
        </w:rPr>
        <w:t>vom je pitanju posvećena posebna pozornost</w:t>
      </w:r>
      <w:r w:rsidR="00620651">
        <w:rPr>
          <w:rFonts w:cstheme="minorHAnsi"/>
        </w:rPr>
        <w:t xml:space="preserve"> </w:t>
      </w:r>
      <w:r w:rsidR="00620651">
        <w:t>t</w:t>
      </w:r>
      <w:r w:rsidR="00620651" w:rsidRPr="009E2197">
        <w:rPr>
          <w:rFonts w:cstheme="minorHAnsi"/>
        </w:rPr>
        <w:t>ijekom vrednovanja analize stanja</w:t>
      </w:r>
      <w:r w:rsidR="00620651">
        <w:rPr>
          <w:rFonts w:cstheme="minorHAnsi"/>
        </w:rPr>
        <w:t>, a osobito u prvoj fazi realizacije postupka vrednovanja.</w:t>
      </w:r>
      <w:r>
        <w:rPr>
          <w:rFonts w:cstheme="minorHAnsi"/>
        </w:rPr>
        <w:t xml:space="preserve"> Svrha usredotočenosti na analizu stanja bila je </w:t>
      </w:r>
      <w:r w:rsidRPr="009E2197">
        <w:rPr>
          <w:rFonts w:cstheme="minorHAnsi"/>
        </w:rPr>
        <w:t>osigura</w:t>
      </w:r>
      <w:r>
        <w:rPr>
          <w:rFonts w:cstheme="minorHAnsi"/>
        </w:rPr>
        <w:t>ti</w:t>
      </w:r>
      <w:r w:rsidRPr="009E2197">
        <w:rPr>
          <w:rFonts w:cstheme="minorHAnsi"/>
        </w:rPr>
        <w:t xml:space="preserve"> kvalitetn</w:t>
      </w:r>
      <w:r>
        <w:rPr>
          <w:rFonts w:cstheme="minorHAnsi"/>
        </w:rPr>
        <w:t>u</w:t>
      </w:r>
      <w:r w:rsidRPr="009E2197">
        <w:rPr>
          <w:rFonts w:cstheme="minorHAnsi"/>
        </w:rPr>
        <w:t xml:space="preserve"> osnov</w:t>
      </w:r>
      <w:r>
        <w:rPr>
          <w:rFonts w:cstheme="minorHAnsi"/>
        </w:rPr>
        <w:t xml:space="preserve">u </w:t>
      </w:r>
      <w:r w:rsidRPr="009E2197">
        <w:rPr>
          <w:rFonts w:cstheme="minorHAnsi"/>
        </w:rPr>
        <w:t>za sva daljnja poglavlja</w:t>
      </w:r>
      <w:r w:rsidR="00645DA1">
        <w:rPr>
          <w:rFonts w:cstheme="minorHAnsi"/>
        </w:rPr>
        <w:t xml:space="preserve"> </w:t>
      </w:r>
      <w:r w:rsidR="00645DA1" w:rsidRPr="00B87D94">
        <w:rPr>
          <w:rFonts w:cstheme="minorHAnsi"/>
        </w:rPr>
        <w:t>Nacrta</w:t>
      </w:r>
      <w:r w:rsidRPr="009E2197">
        <w:rPr>
          <w:rFonts w:cstheme="minorHAnsi"/>
        </w:rPr>
        <w:t xml:space="preserve"> Strategije koja imaju svoju poveznicu na analizu stanja, razvojne potrebe i potencijale. Naime</w:t>
      </w:r>
      <w:r w:rsidR="006665A5">
        <w:rPr>
          <w:rFonts w:cstheme="minorHAnsi"/>
        </w:rPr>
        <w:t>,</w:t>
      </w:r>
      <w:r w:rsidRPr="009E2197">
        <w:rPr>
          <w:rFonts w:cstheme="minorHAnsi"/>
        </w:rPr>
        <w:t xml:space="preserve"> </w:t>
      </w:r>
      <w:r w:rsidR="00FA52F5">
        <w:rPr>
          <w:rFonts w:cstheme="minorHAnsi"/>
        </w:rPr>
        <w:t xml:space="preserve">ova je </w:t>
      </w:r>
      <w:r w:rsidRPr="009E2197">
        <w:rPr>
          <w:rFonts w:cstheme="minorHAnsi"/>
        </w:rPr>
        <w:t xml:space="preserve">analiza relevantna s obzirom da se radi o mjerodavnoj osnovi za utvrđivanje ključnih razvojnih problema i potencijala koji  zajedno čine osnovu za utvrđivanje potreba, koje se u strateškom okviru </w:t>
      </w:r>
      <w:r w:rsidR="00645DA1" w:rsidRPr="00B87D94">
        <w:rPr>
          <w:rFonts w:cstheme="minorHAnsi"/>
        </w:rPr>
        <w:t>Nacrta</w:t>
      </w:r>
      <w:r w:rsidR="00645DA1" w:rsidRPr="00154905">
        <w:rPr>
          <w:rFonts w:cstheme="minorHAnsi"/>
        </w:rPr>
        <w:t xml:space="preserve"> </w:t>
      </w:r>
      <w:r w:rsidRPr="009E2197">
        <w:rPr>
          <w:rFonts w:cstheme="minorHAnsi"/>
        </w:rPr>
        <w:t xml:space="preserve">Strategije reflektiraju u definiranim strateškim ciljevima i provedbenim mehanizmima. </w:t>
      </w:r>
    </w:p>
    <w:p w14:paraId="048FA3C3" w14:textId="21420F1D" w:rsidR="00B33555" w:rsidRPr="0042150B" w:rsidRDefault="00B33555" w:rsidP="00B33555">
      <w:pPr>
        <w:spacing w:after="200" w:line="276" w:lineRule="auto"/>
        <w:jc w:val="both"/>
        <w:rPr>
          <w:rFonts w:cstheme="minorHAnsi"/>
        </w:rPr>
      </w:pPr>
      <w:r>
        <w:rPr>
          <w:rFonts w:cstheme="minorHAnsi"/>
        </w:rPr>
        <w:t xml:space="preserve">Zbog važnosti analize stanja za </w:t>
      </w:r>
      <w:r w:rsidRPr="0042150B">
        <w:rPr>
          <w:rFonts w:cstheme="minorHAnsi"/>
        </w:rPr>
        <w:t xml:space="preserve">definiranje strateškog okvira </w:t>
      </w:r>
      <w:r w:rsidR="00645DA1" w:rsidRPr="00B87D94">
        <w:rPr>
          <w:rFonts w:cstheme="minorHAnsi"/>
        </w:rPr>
        <w:t>Nacrta</w:t>
      </w:r>
      <w:r w:rsidR="00645DA1" w:rsidRPr="00154905">
        <w:rPr>
          <w:rFonts w:cstheme="minorHAnsi"/>
        </w:rPr>
        <w:t xml:space="preserve"> </w:t>
      </w:r>
      <w:r w:rsidRPr="0042150B">
        <w:rPr>
          <w:rFonts w:cstheme="minorHAnsi"/>
        </w:rPr>
        <w:t xml:space="preserve">Strategije, Izrađivaču je naznačeno koji dijelovi su u prvobitnom nacrtu bili napisani dosta općenito (prva tri poglavlja),  bez dosljedne strukture te gdje je nedostajalo analitičke podloge i jasno utvrđivanje problema, razvojnih potencijala i potreba. Naručitelju su </w:t>
      </w:r>
      <w:r w:rsidR="006665A5">
        <w:rPr>
          <w:rFonts w:cstheme="minorHAnsi"/>
        </w:rPr>
        <w:t>izravno</w:t>
      </w:r>
      <w:r w:rsidR="006665A5" w:rsidRPr="0042150B">
        <w:rPr>
          <w:rFonts w:cstheme="minorHAnsi"/>
        </w:rPr>
        <w:t xml:space="preserve"> </w:t>
      </w:r>
      <w:r w:rsidRPr="0042150B">
        <w:rPr>
          <w:rFonts w:cstheme="minorHAnsi"/>
        </w:rPr>
        <w:t>naznačeni dijelovi teksta koje je trebalo prestrukturirati ili skratiti</w:t>
      </w:r>
      <w:r w:rsidR="006665A5">
        <w:rPr>
          <w:rFonts w:cstheme="minorHAnsi"/>
        </w:rPr>
        <w:t>,</w:t>
      </w:r>
      <w:r w:rsidRPr="0042150B">
        <w:rPr>
          <w:rFonts w:cstheme="minorHAnsi"/>
        </w:rPr>
        <w:t xml:space="preserve"> te je u konačnoj verziji Nacrta bilo vidljivo da su opisi u tekstu </w:t>
      </w:r>
      <w:r w:rsidRPr="00AC7D3B">
        <w:rPr>
          <w:rFonts w:cstheme="minorHAnsi"/>
        </w:rPr>
        <w:t xml:space="preserve">skraćeni </w:t>
      </w:r>
      <w:r w:rsidR="001270E2" w:rsidRPr="00AC7D3B">
        <w:rPr>
          <w:rFonts w:cstheme="minorHAnsi"/>
        </w:rPr>
        <w:t xml:space="preserve">i dorađeni </w:t>
      </w:r>
      <w:r w:rsidRPr="00AC7D3B">
        <w:rPr>
          <w:rFonts w:cstheme="minorHAnsi"/>
        </w:rPr>
        <w:t>u mjeri u kojoj je to bilo izvedivo</w:t>
      </w:r>
      <w:r w:rsidR="001270E2" w:rsidRPr="00AC7D3B">
        <w:rPr>
          <w:rFonts w:cstheme="minorHAnsi"/>
        </w:rPr>
        <w:t xml:space="preserve"> obzirom na nedostatne podatke koji se većinom temelje na analizama i rezultatima pojedinih znanstveno-istraživačkih projekta i na studiji </w:t>
      </w:r>
      <w:r w:rsidR="006665A5">
        <w:rPr>
          <w:rFonts w:cstheme="minorHAnsi"/>
        </w:rPr>
        <w:t xml:space="preserve">o </w:t>
      </w:r>
      <w:r w:rsidR="001270E2" w:rsidRPr="00AC7D3B">
        <w:rPr>
          <w:rFonts w:cstheme="minorHAnsi"/>
        </w:rPr>
        <w:t>raspoloživost</w:t>
      </w:r>
      <w:r w:rsidR="006665A5">
        <w:rPr>
          <w:rFonts w:cstheme="minorHAnsi"/>
        </w:rPr>
        <w:t>i</w:t>
      </w:r>
      <w:r w:rsidR="001270E2" w:rsidRPr="00AC7D3B">
        <w:rPr>
          <w:rFonts w:cstheme="minorHAnsi"/>
        </w:rPr>
        <w:t xml:space="preserve"> biomase koju je naručil</w:t>
      </w:r>
      <w:r w:rsidR="006665A5">
        <w:rPr>
          <w:rFonts w:cstheme="minorHAnsi"/>
        </w:rPr>
        <w:t>o</w:t>
      </w:r>
      <w:r w:rsidR="001270E2" w:rsidRPr="00AC7D3B">
        <w:rPr>
          <w:rFonts w:cstheme="minorHAnsi"/>
        </w:rPr>
        <w:t xml:space="preserve"> Ministarstvo poljoprivrede kao temeljnu analizu i polazište za rad na </w:t>
      </w:r>
      <w:r w:rsidR="00645DA1" w:rsidRPr="00B87D94">
        <w:rPr>
          <w:rFonts w:cstheme="minorHAnsi"/>
        </w:rPr>
        <w:t>Nacrt</w:t>
      </w:r>
      <w:r w:rsidR="00645DA1">
        <w:rPr>
          <w:rFonts w:cstheme="minorHAnsi"/>
        </w:rPr>
        <w:t xml:space="preserve">u </w:t>
      </w:r>
      <w:r w:rsidR="001270E2" w:rsidRPr="00AC7D3B">
        <w:rPr>
          <w:rFonts w:cstheme="minorHAnsi"/>
        </w:rPr>
        <w:t>Strategiji.</w:t>
      </w:r>
      <w:r w:rsidR="00FA52F5">
        <w:rPr>
          <w:rFonts w:cstheme="minorHAnsi"/>
        </w:rPr>
        <w:t xml:space="preserve"> </w:t>
      </w:r>
      <w:r w:rsidRPr="00AC7D3B">
        <w:rPr>
          <w:rFonts w:cstheme="minorHAnsi"/>
        </w:rPr>
        <w:t xml:space="preserve">Dodanim zaključcima po pojedinim poglavljima analize stanja </w:t>
      </w:r>
      <w:r w:rsidR="004F2FF6">
        <w:rPr>
          <w:rFonts w:cstheme="minorHAnsi"/>
        </w:rPr>
        <w:t xml:space="preserve">osnažena </w:t>
      </w:r>
      <w:r w:rsidRPr="00AC7D3B">
        <w:rPr>
          <w:rFonts w:cstheme="minorHAnsi"/>
        </w:rPr>
        <w:t xml:space="preserve">je </w:t>
      </w:r>
      <w:r w:rsidR="00FA52F5">
        <w:rPr>
          <w:rFonts w:cstheme="minorHAnsi"/>
        </w:rPr>
        <w:t xml:space="preserve">relevantnost i </w:t>
      </w:r>
      <w:r w:rsidRPr="00AC7D3B">
        <w:rPr>
          <w:rFonts w:cstheme="minorHAnsi"/>
        </w:rPr>
        <w:t xml:space="preserve">konzistentnost ovog dijela </w:t>
      </w:r>
      <w:r w:rsidR="00645DA1">
        <w:rPr>
          <w:rFonts w:cstheme="minorHAnsi"/>
        </w:rPr>
        <w:t xml:space="preserve">Nacrta </w:t>
      </w:r>
      <w:r w:rsidRPr="00AC7D3B">
        <w:rPr>
          <w:rFonts w:cstheme="minorHAnsi"/>
        </w:rPr>
        <w:t>Strategije</w:t>
      </w:r>
      <w:r w:rsidRPr="0042150B">
        <w:rPr>
          <w:rFonts w:cstheme="minorHAnsi"/>
        </w:rPr>
        <w:t>. U daljnjoj verziji Nacrta</w:t>
      </w:r>
      <w:r w:rsidR="004F2FF6">
        <w:rPr>
          <w:rFonts w:cstheme="minorHAnsi"/>
        </w:rPr>
        <w:t>, Izrađivač je usvojio</w:t>
      </w:r>
      <w:r w:rsidRPr="0042150B">
        <w:rPr>
          <w:rFonts w:cstheme="minorHAnsi"/>
        </w:rPr>
        <w:t xml:space="preserve"> strukturn</w:t>
      </w:r>
      <w:r w:rsidR="004F2FF6">
        <w:rPr>
          <w:rFonts w:cstheme="minorHAnsi"/>
        </w:rPr>
        <w:t>e</w:t>
      </w:r>
      <w:r w:rsidRPr="0042150B">
        <w:rPr>
          <w:rFonts w:cstheme="minorHAnsi"/>
        </w:rPr>
        <w:t>, sadržajn</w:t>
      </w:r>
      <w:r w:rsidR="004F2FF6">
        <w:rPr>
          <w:rFonts w:cstheme="minorHAnsi"/>
        </w:rPr>
        <w:t>e</w:t>
      </w:r>
      <w:r w:rsidRPr="0042150B">
        <w:rPr>
          <w:rFonts w:cstheme="minorHAnsi"/>
        </w:rPr>
        <w:t xml:space="preserve"> i redaktorsk</w:t>
      </w:r>
      <w:r w:rsidR="004F2FF6">
        <w:rPr>
          <w:rFonts w:cstheme="minorHAnsi"/>
        </w:rPr>
        <w:t>e</w:t>
      </w:r>
      <w:r w:rsidRPr="0042150B">
        <w:rPr>
          <w:rFonts w:cstheme="minorHAnsi"/>
        </w:rPr>
        <w:t xml:space="preserve"> komentar</w:t>
      </w:r>
      <w:r w:rsidR="004F2FF6">
        <w:rPr>
          <w:rFonts w:cstheme="minorHAnsi"/>
        </w:rPr>
        <w:t>e</w:t>
      </w:r>
      <w:r w:rsidRPr="0042150B">
        <w:rPr>
          <w:rFonts w:cstheme="minorHAnsi"/>
        </w:rPr>
        <w:t xml:space="preserve"> tima za vrednovanje</w:t>
      </w:r>
      <w:r w:rsidR="004F2FF6">
        <w:rPr>
          <w:rFonts w:cstheme="minorHAnsi"/>
        </w:rPr>
        <w:t xml:space="preserve">, što je doprinijelo </w:t>
      </w:r>
      <w:r w:rsidRPr="0042150B">
        <w:rPr>
          <w:rFonts w:cstheme="minorHAnsi"/>
        </w:rPr>
        <w:t>bitno jasnij</w:t>
      </w:r>
      <w:r w:rsidR="004F2FF6">
        <w:rPr>
          <w:rFonts w:cstheme="minorHAnsi"/>
        </w:rPr>
        <w:t>oj</w:t>
      </w:r>
      <w:r w:rsidRPr="0042150B">
        <w:rPr>
          <w:rFonts w:cstheme="minorHAnsi"/>
        </w:rPr>
        <w:t>, potpunij</w:t>
      </w:r>
      <w:r w:rsidR="004F2FF6">
        <w:rPr>
          <w:rFonts w:cstheme="minorHAnsi"/>
        </w:rPr>
        <w:t>oj</w:t>
      </w:r>
      <w:r w:rsidRPr="0042150B">
        <w:rPr>
          <w:rFonts w:cstheme="minorHAnsi"/>
        </w:rPr>
        <w:t>, čitljivij</w:t>
      </w:r>
      <w:r w:rsidR="004F2FF6">
        <w:rPr>
          <w:rFonts w:cstheme="minorHAnsi"/>
        </w:rPr>
        <w:t>oj</w:t>
      </w:r>
      <w:r w:rsidRPr="0042150B">
        <w:rPr>
          <w:rFonts w:cstheme="minorHAnsi"/>
        </w:rPr>
        <w:t xml:space="preserve"> i bolje strukturiran</w:t>
      </w:r>
      <w:r w:rsidR="004F2FF6">
        <w:rPr>
          <w:rFonts w:cstheme="minorHAnsi"/>
        </w:rPr>
        <w:t xml:space="preserve">oj analizi, koja </w:t>
      </w:r>
      <w:r w:rsidRPr="0042150B">
        <w:rPr>
          <w:rFonts w:cstheme="minorHAnsi"/>
        </w:rPr>
        <w:t>kao takva odgovara uobičajenom pristupu pisanja strateško</w:t>
      </w:r>
      <w:r w:rsidR="00FA52F5">
        <w:rPr>
          <w:rFonts w:cstheme="minorHAnsi"/>
        </w:rPr>
        <w:t>g</w:t>
      </w:r>
      <w:r w:rsidRPr="0042150B">
        <w:rPr>
          <w:rFonts w:cstheme="minorHAnsi"/>
        </w:rPr>
        <w:t xml:space="preserve"> dokumenta. </w:t>
      </w:r>
    </w:p>
    <w:p w14:paraId="158A1DA0" w14:textId="7E4A8D9E" w:rsidR="00B33555" w:rsidRPr="0042150B" w:rsidRDefault="00B33555" w:rsidP="00B33555">
      <w:pPr>
        <w:spacing w:after="200" w:line="276" w:lineRule="auto"/>
        <w:jc w:val="both"/>
        <w:rPr>
          <w:rFonts w:cstheme="minorHAnsi"/>
        </w:rPr>
      </w:pPr>
      <w:r w:rsidRPr="0042150B">
        <w:rPr>
          <w:rFonts w:cstheme="minorHAnsi"/>
        </w:rPr>
        <w:t xml:space="preserve">Za sažeto, relevantno i dosljedno pisanje </w:t>
      </w:r>
      <w:r w:rsidR="00FA52F5">
        <w:rPr>
          <w:rFonts w:cstheme="minorHAnsi"/>
        </w:rPr>
        <w:t xml:space="preserve">analitičkog dijela </w:t>
      </w:r>
      <w:r w:rsidR="00645DA1" w:rsidRPr="00B87D94">
        <w:rPr>
          <w:rFonts w:cstheme="minorHAnsi"/>
        </w:rPr>
        <w:t>Nacrta</w:t>
      </w:r>
      <w:r w:rsidR="00645DA1" w:rsidRPr="00154905">
        <w:rPr>
          <w:rFonts w:cstheme="minorHAnsi"/>
        </w:rPr>
        <w:t xml:space="preserve"> </w:t>
      </w:r>
      <w:r w:rsidR="00FA52F5">
        <w:rPr>
          <w:rFonts w:cstheme="minorHAnsi"/>
        </w:rPr>
        <w:t>Strategije</w:t>
      </w:r>
      <w:r w:rsidRPr="0042150B">
        <w:rPr>
          <w:rFonts w:cstheme="minorHAnsi"/>
        </w:rPr>
        <w:t xml:space="preserve"> važna je SWOT analiza</w:t>
      </w:r>
      <w:r w:rsidR="00620651">
        <w:rPr>
          <w:rFonts w:cstheme="minorHAnsi"/>
        </w:rPr>
        <w:t xml:space="preserve">. </w:t>
      </w:r>
      <w:r w:rsidRPr="0042150B">
        <w:rPr>
          <w:rFonts w:cstheme="minorHAnsi"/>
        </w:rPr>
        <w:t xml:space="preserve"> </w:t>
      </w:r>
      <w:r w:rsidR="00620651">
        <w:t>Analiza je bila preopširna i rascjepkana, te je u nekoliko koraka svedena na primjeren opseg uz dosizanje kvalitete primjerene aktu strateškog planiranja</w:t>
      </w:r>
      <w:r w:rsidR="00620651">
        <w:rPr>
          <w:rFonts w:cstheme="minorHAnsi"/>
        </w:rPr>
        <w:t xml:space="preserve">. </w:t>
      </w:r>
      <w:r w:rsidRPr="0042150B">
        <w:rPr>
          <w:rFonts w:cstheme="minorHAnsi"/>
        </w:rPr>
        <w:t xml:space="preserve">Tim za vrednovanje je pomogao u redigiranju, cjelovitom </w:t>
      </w:r>
      <w:r w:rsidR="004C6CFA">
        <w:rPr>
          <w:rFonts w:cstheme="minorHAnsi"/>
        </w:rPr>
        <w:t xml:space="preserve">restrukturiranju </w:t>
      </w:r>
      <w:r w:rsidRPr="0042150B">
        <w:rPr>
          <w:rFonts w:cstheme="minorHAnsi"/>
        </w:rPr>
        <w:t>ovog poglavlja i korigiranju u dva zaprimljena nacrta ove analize te je konačna verzija zadovoljavajuća i primjerena aktu strateškog planiranja.</w:t>
      </w:r>
      <w:r w:rsidR="00270871">
        <w:rPr>
          <w:rFonts w:cstheme="minorHAnsi"/>
        </w:rPr>
        <w:t xml:space="preserve"> </w:t>
      </w:r>
    </w:p>
    <w:p w14:paraId="6CE4A4C7" w14:textId="4FF725FC" w:rsidR="00B33555" w:rsidRDefault="00B33555" w:rsidP="00216EC1">
      <w:pPr>
        <w:spacing w:after="200" w:line="276" w:lineRule="auto"/>
        <w:jc w:val="both"/>
        <w:rPr>
          <w:rFonts w:cstheme="minorHAnsi"/>
        </w:rPr>
      </w:pPr>
      <w:r w:rsidRPr="0042150B">
        <w:rPr>
          <w:rFonts w:cstheme="minorHAnsi"/>
        </w:rPr>
        <w:lastRenderedPageBreak/>
        <w:t xml:space="preserve">Preporuke tima za vrednovanje su prodiskutirane  s Naručiteljem te je iz </w:t>
      </w:r>
      <w:r w:rsidR="00620651">
        <w:rPr>
          <w:rFonts w:cstheme="minorHAnsi"/>
        </w:rPr>
        <w:t xml:space="preserve">revidiranog </w:t>
      </w:r>
      <w:r w:rsidR="00645DA1">
        <w:rPr>
          <w:rFonts w:cstheme="minorHAnsi"/>
        </w:rPr>
        <w:t>N</w:t>
      </w:r>
      <w:r w:rsidRPr="0042150B">
        <w:rPr>
          <w:rFonts w:cstheme="minorHAnsi"/>
        </w:rPr>
        <w:t xml:space="preserve">acrta Strategije vidljivo da je analiza stanja sveobuhvatna, da su navedeni podaci i ocjene stanja relevantne, da je napisana sažeto i jasno te da odražava ključna razvojna ograničenja u biogospodarstvu u Hrvatskoj. Analiza odražava ključne razvojne potrebe i potencijale, a analitički dio sadrži </w:t>
      </w:r>
      <w:r w:rsidR="00620651">
        <w:rPr>
          <w:rFonts w:cstheme="minorHAnsi"/>
        </w:rPr>
        <w:t xml:space="preserve"> zadnje dostupne</w:t>
      </w:r>
      <w:r w:rsidRPr="0042150B">
        <w:rPr>
          <w:rFonts w:cstheme="minorHAnsi"/>
        </w:rPr>
        <w:t xml:space="preserve"> podatke, najvećim dijelom zaključno s krajem 2021. godine, te je ona poslužila </w:t>
      </w:r>
      <w:r w:rsidRPr="00216EC1">
        <w:rPr>
          <w:rFonts w:cstheme="minorHAnsi"/>
        </w:rPr>
        <w:t xml:space="preserve">kao </w:t>
      </w:r>
      <w:r w:rsidR="00270871" w:rsidRPr="00216EC1">
        <w:rPr>
          <w:rFonts w:cstheme="minorHAnsi"/>
        </w:rPr>
        <w:t>dostatna i relevantna</w:t>
      </w:r>
      <w:r w:rsidR="00270871">
        <w:rPr>
          <w:rFonts w:cstheme="minorHAnsi"/>
        </w:rPr>
        <w:t xml:space="preserve"> </w:t>
      </w:r>
      <w:r w:rsidRPr="0042150B">
        <w:rPr>
          <w:rFonts w:cstheme="minorHAnsi"/>
        </w:rPr>
        <w:t xml:space="preserve"> osnova za izradu strateškog okvira Strategije. </w:t>
      </w:r>
    </w:p>
    <w:p w14:paraId="1A9264D9" w14:textId="77777777" w:rsidR="00B33555" w:rsidRPr="00224015" w:rsidRDefault="00B33555" w:rsidP="00B33555">
      <w:pPr>
        <w:spacing w:before="100" w:beforeAutospacing="1" w:after="100" w:afterAutospacing="1"/>
        <w:jc w:val="both"/>
        <w:rPr>
          <w:rFonts w:asciiTheme="majorHAnsi" w:hAnsiTheme="majorHAnsi" w:cstheme="majorHAnsi"/>
          <w:b/>
          <w:color w:val="0070C0"/>
          <w:sz w:val="28"/>
          <w:szCs w:val="28"/>
        </w:rPr>
      </w:pPr>
      <w:r w:rsidRPr="00224015">
        <w:rPr>
          <w:rFonts w:asciiTheme="majorHAnsi" w:hAnsiTheme="majorHAnsi" w:cstheme="majorHAnsi"/>
          <w:b/>
          <w:bCs/>
          <w:color w:val="0070C0"/>
          <w:sz w:val="28"/>
          <w:szCs w:val="28"/>
        </w:rPr>
        <w:t xml:space="preserve">Kriterij  unutarnje usklađenosti/koherentnosti </w:t>
      </w:r>
    </w:p>
    <w:p w14:paraId="7D33AABA" w14:textId="5F7F20C3" w:rsidR="00B33555" w:rsidRPr="00224015" w:rsidRDefault="00B33555" w:rsidP="00B33555">
      <w:pPr>
        <w:spacing w:after="200" w:line="276" w:lineRule="auto"/>
        <w:jc w:val="both"/>
        <w:rPr>
          <w:rFonts w:cstheme="minorHAnsi"/>
          <w:b/>
          <w:color w:val="0070C0"/>
        </w:rPr>
      </w:pPr>
      <w:r w:rsidRPr="00224015">
        <w:rPr>
          <w:rFonts w:cstheme="minorHAnsi"/>
          <w:b/>
          <w:color w:val="0070C0"/>
          <w:u w:val="single"/>
        </w:rPr>
        <w:t>Evaluacijsko pitanje 2</w:t>
      </w:r>
      <w:r w:rsidRPr="00224015">
        <w:rPr>
          <w:rFonts w:cstheme="minorHAnsi"/>
          <w:b/>
          <w:color w:val="0070C0"/>
        </w:rPr>
        <w:t>.: Jesu li u Strategiji strateški ciljevi i provedbeni mehanizmi utvrđeni na logičan način? (Je li strateški okvir jasno povezan s utvrđenim potrebama? Unutarnja interven</w:t>
      </w:r>
      <w:r w:rsidR="005617E7">
        <w:rPr>
          <w:rFonts w:cstheme="minorHAnsi"/>
          <w:b/>
          <w:color w:val="0070C0"/>
        </w:rPr>
        <w:t>cijska</w:t>
      </w:r>
      <w:r w:rsidRPr="00224015">
        <w:rPr>
          <w:rFonts w:cstheme="minorHAnsi"/>
          <w:b/>
          <w:color w:val="0070C0"/>
        </w:rPr>
        <w:t xml:space="preserve"> logika Strategije)</w:t>
      </w:r>
      <w:r w:rsidRPr="00224015">
        <w:rPr>
          <w:rFonts w:cstheme="minorHAnsi"/>
          <w:color w:val="0070C0"/>
        </w:rPr>
        <w:t xml:space="preserve"> </w:t>
      </w:r>
    </w:p>
    <w:p w14:paraId="4F80F983" w14:textId="7481D770" w:rsidR="00B33555" w:rsidRPr="007B0BCF" w:rsidRDefault="00B33555" w:rsidP="00B33555">
      <w:pPr>
        <w:spacing w:after="200" w:line="276" w:lineRule="auto"/>
        <w:jc w:val="both"/>
        <w:rPr>
          <w:rFonts w:cstheme="minorHAnsi"/>
        </w:rPr>
      </w:pPr>
      <w:r w:rsidRPr="007B0BCF">
        <w:rPr>
          <w:rFonts w:cstheme="minorHAnsi"/>
        </w:rPr>
        <w:t xml:space="preserve">Strateški okvir je  u prvom Nacrtu Strategije većim dijelom bio dobro povezan s istaknutim razvojnim potrebama u analizi stanja. Kod SWOT analize </w:t>
      </w:r>
      <w:r w:rsidR="004F2FF6">
        <w:rPr>
          <w:rFonts w:cstheme="minorHAnsi"/>
        </w:rPr>
        <w:t xml:space="preserve">bile </w:t>
      </w:r>
      <w:r w:rsidRPr="007B0BCF">
        <w:rPr>
          <w:rFonts w:cstheme="minorHAnsi"/>
        </w:rPr>
        <w:t xml:space="preserve">su </w:t>
      </w:r>
      <w:r w:rsidR="004F2FF6">
        <w:rPr>
          <w:rFonts w:cstheme="minorHAnsi"/>
        </w:rPr>
        <w:t xml:space="preserve">potrebne </w:t>
      </w:r>
      <w:r w:rsidRPr="007B0BCF">
        <w:rPr>
          <w:rFonts w:cstheme="minorHAnsi"/>
        </w:rPr>
        <w:t xml:space="preserve">značajnije korekcije </w:t>
      </w:r>
      <w:r w:rsidR="004F2FF6">
        <w:rPr>
          <w:rFonts w:cstheme="minorHAnsi"/>
        </w:rPr>
        <w:t>da</w:t>
      </w:r>
      <w:r w:rsidR="00270871" w:rsidRPr="007B0BCF">
        <w:rPr>
          <w:rFonts w:cstheme="minorHAnsi"/>
        </w:rPr>
        <w:t xml:space="preserve"> bi se uspostavila jasna i sadržajna unutarnja koherentnost</w:t>
      </w:r>
      <w:r w:rsidR="004F2FF6">
        <w:rPr>
          <w:rFonts w:cstheme="minorHAnsi"/>
        </w:rPr>
        <w:t>,</w:t>
      </w:r>
      <w:r w:rsidR="00270871" w:rsidRPr="007B0BCF">
        <w:rPr>
          <w:rFonts w:cstheme="minorHAnsi"/>
        </w:rPr>
        <w:t xml:space="preserve"> te </w:t>
      </w:r>
      <w:r w:rsidR="004F2FF6">
        <w:rPr>
          <w:rFonts w:cstheme="minorHAnsi"/>
        </w:rPr>
        <w:t xml:space="preserve">da </w:t>
      </w:r>
      <w:r w:rsidR="007B0BCF" w:rsidRPr="007B0BCF">
        <w:rPr>
          <w:rFonts w:cstheme="minorHAnsi"/>
        </w:rPr>
        <w:t xml:space="preserve">ovaj okvir </w:t>
      </w:r>
      <w:r w:rsidR="00270871" w:rsidRPr="007B0BCF">
        <w:rPr>
          <w:rFonts w:cstheme="minorHAnsi"/>
        </w:rPr>
        <w:t xml:space="preserve">osigura </w:t>
      </w:r>
      <w:r w:rsidR="007B0BCF" w:rsidRPr="007B0BCF">
        <w:rPr>
          <w:rFonts w:cstheme="minorHAnsi"/>
        </w:rPr>
        <w:t>osnovu</w:t>
      </w:r>
      <w:r w:rsidR="00270871" w:rsidRPr="007B0BCF">
        <w:rPr>
          <w:rFonts w:cstheme="minorHAnsi"/>
        </w:rPr>
        <w:t xml:space="preserve"> za kasnije definiranje mjera i aktivnosti razvoja biogospodartsva u </w:t>
      </w:r>
      <w:r w:rsidR="007B0BCF" w:rsidRPr="007B0BCF">
        <w:rPr>
          <w:rFonts w:cstheme="minorHAnsi"/>
        </w:rPr>
        <w:t xml:space="preserve">predstojećem </w:t>
      </w:r>
      <w:r w:rsidR="00270871" w:rsidRPr="007B0BCF">
        <w:rPr>
          <w:rFonts w:cstheme="minorHAnsi"/>
        </w:rPr>
        <w:t xml:space="preserve">Planu. </w:t>
      </w:r>
      <w:r w:rsidRPr="007B0BCF">
        <w:rPr>
          <w:rFonts w:cstheme="minorHAnsi"/>
        </w:rPr>
        <w:t xml:space="preserve"> </w:t>
      </w:r>
    </w:p>
    <w:p w14:paraId="21F0E378" w14:textId="3432C95E" w:rsidR="00B33555" w:rsidRPr="0042150B" w:rsidRDefault="00B33555" w:rsidP="00B33555">
      <w:pPr>
        <w:spacing w:after="200" w:line="276" w:lineRule="auto"/>
        <w:jc w:val="both"/>
      </w:pPr>
      <w:r w:rsidRPr="007B0BCF">
        <w:rPr>
          <w:rFonts w:cstheme="minorHAnsi"/>
          <w:bCs/>
        </w:rPr>
        <w:t>Primjenom kriterija unutarnje usklađenosti</w:t>
      </w:r>
      <w:r w:rsidR="00270871" w:rsidRPr="007B0BCF">
        <w:rPr>
          <w:rFonts w:cstheme="minorHAnsi"/>
          <w:bCs/>
        </w:rPr>
        <w:t>,</w:t>
      </w:r>
      <w:r w:rsidRPr="007B0BCF">
        <w:rPr>
          <w:rFonts w:cstheme="minorHAnsi"/>
          <w:bCs/>
        </w:rPr>
        <w:t xml:space="preserve"> ali ujedno i pomoćnim kriterijem dosljednosti/konzistentnosti provjerena je </w:t>
      </w:r>
      <w:r w:rsidRPr="007B0BCF">
        <w:rPr>
          <w:rFonts w:cstheme="minorHAnsi"/>
        </w:rPr>
        <w:t>unutarnja usklađenost ključnih elemenata Strategije</w:t>
      </w:r>
      <w:r w:rsidRPr="007B0BCF">
        <w:rPr>
          <w:rFonts w:cstheme="minorHAnsi"/>
          <w:bCs/>
        </w:rPr>
        <w:t xml:space="preserve">. Ova je provjera bitna radi </w:t>
      </w:r>
      <w:r w:rsidRPr="007B0BCF">
        <w:t>postizanja neophodne unutarnje vertikalne intervencijske logike cijelog  dokumenata tj.</w:t>
      </w:r>
      <w:r w:rsidR="00FA52F5">
        <w:t xml:space="preserve"> poveznice</w:t>
      </w:r>
      <w:r w:rsidRPr="007B0BCF">
        <w:t xml:space="preserve"> od utvrđenih problema, razvojnih ograničenja i slabosti izdvojenih u SWOT analizi do potreba koj</w:t>
      </w:r>
      <w:r w:rsidR="00FA52F5">
        <w:t>e su refleksija tih</w:t>
      </w:r>
      <w:r w:rsidRPr="007B0BCF">
        <w:t xml:space="preserve"> problem</w:t>
      </w:r>
      <w:r w:rsidR="00FA52F5">
        <w:t>a</w:t>
      </w:r>
      <w:r w:rsidRPr="007B0BCF">
        <w:t>/slabosti</w:t>
      </w:r>
      <w:r w:rsidR="00270871" w:rsidRPr="007B0BCF">
        <w:t>.</w:t>
      </w:r>
      <w:r w:rsidRPr="007B0BCF">
        <w:t xml:space="preserve"> Ujedno</w:t>
      </w:r>
      <w:r w:rsidR="004F2FF6">
        <w:t>,</w:t>
      </w:r>
      <w:r w:rsidRPr="007B0BCF">
        <w:t xml:space="preserve"> potrebe moraju obuhvatiti i razvojni potencijal koji je u području biogospodarstva vrlo izražen. To su te prilike „iznutra“ kojih u ovom segmentu razvoj</w:t>
      </w:r>
      <w:r w:rsidR="00270871" w:rsidRPr="007B0BCF">
        <w:t xml:space="preserve">a (biogospodarstvo) </w:t>
      </w:r>
      <w:r w:rsidRPr="007B0BCF">
        <w:t xml:space="preserve"> zaista ima u Hrvatskoj te je potrebno njihovo daljnje  iskorištavanje i osnaživanje. U tom smislu, potrebe pokrivaju probleme</w:t>
      </w:r>
      <w:r w:rsidRPr="0042150B">
        <w:t xml:space="preserve"> i potencijale</w:t>
      </w:r>
      <w:r w:rsidR="004F2FF6">
        <w:t xml:space="preserve"> - </w:t>
      </w:r>
      <w:r w:rsidRPr="0042150B">
        <w:t xml:space="preserve">i tim za vrednovanje je vodio računa o toj logici s obzirom da je ona morala biti reflektirana u strateškim ciljevima. </w:t>
      </w:r>
    </w:p>
    <w:p w14:paraId="31533402" w14:textId="77F436E3" w:rsidR="00B33555" w:rsidRPr="0042150B" w:rsidRDefault="00B33555" w:rsidP="00B33555">
      <w:pPr>
        <w:spacing w:after="200" w:line="276" w:lineRule="auto"/>
        <w:jc w:val="both"/>
      </w:pPr>
      <w:r w:rsidRPr="0042150B">
        <w:t xml:space="preserve">U prva dva zaprimljena Nacrta Strategije nije bila u dovoljnoj mjeri vidljiva logična poveznica od </w:t>
      </w:r>
      <w:r w:rsidR="00620651">
        <w:t>problema /slabosti naznačenih u analizi stanja i  S</w:t>
      </w:r>
      <w:r w:rsidRPr="0042150B">
        <w:t>WOT analizi sa strateškim ciljevima. Opsežna analiza stanja, opterećena dijelom manje važnim, općenitim opisima te pretjerano ekstenzivna SWOT analiza koja je tražila doradu bila su ograničenje za postizanje poželjne vertikalne unutarnje logike u dokumentu</w:t>
      </w:r>
      <w:r w:rsidR="009C0B76">
        <w:t xml:space="preserve"> – od problema do potreba te konačno do strateških ciljeva i provedbenih mehanizama</w:t>
      </w:r>
      <w:r w:rsidRPr="0042150B">
        <w:t xml:space="preserve">. </w:t>
      </w:r>
    </w:p>
    <w:p w14:paraId="5FFEFA28" w14:textId="57790611" w:rsidR="00B33555" w:rsidRPr="0042150B" w:rsidRDefault="00270871" w:rsidP="00B33555">
      <w:pPr>
        <w:spacing w:after="200" w:line="276" w:lineRule="auto"/>
        <w:jc w:val="both"/>
      </w:pPr>
      <w:r w:rsidRPr="007B0BCF">
        <w:t xml:space="preserve">Provedbeni mehanizmi </w:t>
      </w:r>
      <w:r w:rsidR="00B33555" w:rsidRPr="007B0BCF">
        <w:t>su međutim</w:t>
      </w:r>
      <w:r w:rsidR="00B33555" w:rsidRPr="0042150B">
        <w:t xml:space="preserve"> kvalitetno i pregledno bil</w:t>
      </w:r>
      <w:r>
        <w:t xml:space="preserve">i </w:t>
      </w:r>
      <w:r w:rsidR="00B33555" w:rsidRPr="0042150B">
        <w:t>prikazan</w:t>
      </w:r>
      <w:r>
        <w:t>i</w:t>
      </w:r>
      <w:r w:rsidR="00B33555" w:rsidRPr="0042150B">
        <w:t xml:space="preserve"> u tabličnom obliku već u prvom Nacrtu. </w:t>
      </w:r>
      <w:r w:rsidR="00174C14">
        <w:t>Izrađivaču je s</w:t>
      </w:r>
      <w:r w:rsidR="00B33555" w:rsidRPr="0042150B">
        <w:t>ugerirano da se u opis</w:t>
      </w:r>
      <w:r w:rsidR="00FA52F5">
        <w:t>ima</w:t>
      </w:r>
      <w:r w:rsidR="00B33555" w:rsidRPr="0042150B">
        <w:t xml:space="preserve"> sažeto osvrne na potrebe i potencijale te nalaze SWOT analize </w:t>
      </w:r>
      <w:r w:rsidR="00174C14">
        <w:t xml:space="preserve">s ciljem </w:t>
      </w:r>
      <w:r w:rsidR="00B33555" w:rsidRPr="0042150B">
        <w:t>osnaž</w:t>
      </w:r>
      <w:r w:rsidR="00174C14">
        <w:t>enja</w:t>
      </w:r>
      <w:r w:rsidR="00B33555" w:rsidRPr="0042150B">
        <w:t xml:space="preserve"> unutarnj</w:t>
      </w:r>
      <w:r w:rsidR="00174C14">
        <w:t>e</w:t>
      </w:r>
      <w:r w:rsidR="00B33555" w:rsidRPr="0042150B">
        <w:t xml:space="preserve"> interve</w:t>
      </w:r>
      <w:r w:rsidR="009C0B76">
        <w:t>ncijska</w:t>
      </w:r>
      <w:r w:rsidR="00B33555" w:rsidRPr="0042150B">
        <w:t xml:space="preserve"> logik</w:t>
      </w:r>
      <w:r w:rsidR="00174C14">
        <w:t>e,</w:t>
      </w:r>
      <w:r w:rsidR="00B33555" w:rsidRPr="0042150B">
        <w:t xml:space="preserve"> kako bi ovaj dio </w:t>
      </w:r>
      <w:r w:rsidR="00645DA1" w:rsidRPr="00B87D94">
        <w:rPr>
          <w:rFonts w:cstheme="minorHAnsi"/>
        </w:rPr>
        <w:t>Nacrta</w:t>
      </w:r>
      <w:r w:rsidR="00645DA1" w:rsidRPr="00154905">
        <w:rPr>
          <w:rFonts w:cstheme="minorHAnsi"/>
        </w:rPr>
        <w:t xml:space="preserve"> </w:t>
      </w:r>
      <w:r w:rsidR="00B33555" w:rsidRPr="0042150B">
        <w:t>Strategije mogao poslužiti kao mjerodavna i argumentirana osnova za naknadnu izradu Plana razvoj</w:t>
      </w:r>
      <w:r w:rsidR="00936556">
        <w:t>a</w:t>
      </w:r>
      <w:r w:rsidR="00B33555" w:rsidRPr="0042150B">
        <w:t xml:space="preserve"> biogospodarstva. Temeljem naznačenog u vrlo svrhovitoj Tablici 9.</w:t>
      </w:r>
      <w:r w:rsidR="00174C14">
        <w:t>,</w:t>
      </w:r>
      <w:r w:rsidR="00B33555" w:rsidRPr="0042150B">
        <w:t xml:space="preserve"> vidljivo je da svaki strateški cilj  (SC) ima svoju poveznicu na dvije ili tri istaknute ključne potrebe. Prvi i treći SC odražavaju svaki po dvije ključne potrebe</w:t>
      </w:r>
      <w:r w:rsidR="00B01AD2">
        <w:t>,</w:t>
      </w:r>
      <w:r w:rsidR="00B33555" w:rsidRPr="0042150B">
        <w:t xml:space="preserve"> a drugi SC </w:t>
      </w:r>
      <w:r w:rsidR="00B33555" w:rsidRPr="0042150B">
        <w:rPr>
          <w:i/>
        </w:rPr>
        <w:t>(Razvoj održive proizvodnje i tržišta sirovina)</w:t>
      </w:r>
      <w:r w:rsidR="00B33555" w:rsidRPr="0042150B">
        <w:t xml:space="preserve"> refleksija je tri istaknute potrebe: </w:t>
      </w:r>
      <w:r w:rsidR="00B33555" w:rsidRPr="0042150B">
        <w:rPr>
          <w:rFonts w:eastAsia="Calibri" w:cs="Times New Roman"/>
          <w:i/>
        </w:rPr>
        <w:t xml:space="preserve">Mapirati raspoloživost i potražnju za biomasom; Održivo upravljati prirodnim resursima te Dodatno poticati istraživanja i inovacije </w:t>
      </w:r>
      <w:r w:rsidR="00B33555" w:rsidRPr="0042150B">
        <w:rPr>
          <w:rFonts w:eastAsia="Calibri" w:cs="Times New Roman"/>
          <w:i/>
        </w:rPr>
        <w:lastRenderedPageBreak/>
        <w:t>te njihovu primjenu u biogospodarstvu</w:t>
      </w:r>
      <w:r w:rsidR="00B33555" w:rsidRPr="0042150B">
        <w:rPr>
          <w:rStyle w:val="Referencafusnote"/>
          <w:rFonts w:eastAsia="Calibri" w:cs="Times New Roman"/>
          <w:i/>
        </w:rPr>
        <w:footnoteReference w:id="2"/>
      </w:r>
      <w:r w:rsidR="00B33555" w:rsidRPr="0042150B">
        <w:rPr>
          <w:rFonts w:eastAsia="Calibri" w:cs="Times New Roman"/>
          <w:i/>
        </w:rPr>
        <w:t xml:space="preserve">. </w:t>
      </w:r>
      <w:r w:rsidR="00B33555" w:rsidRPr="0042150B">
        <w:rPr>
          <w:rFonts w:eastAsia="Calibri" w:cs="Times New Roman"/>
        </w:rPr>
        <w:t>Potrebe koje su reflektirane u prvom SC</w:t>
      </w:r>
      <w:r w:rsidR="00B33555" w:rsidRPr="0042150B">
        <w:rPr>
          <w:rFonts w:eastAsia="Calibri" w:cs="Times New Roman"/>
          <w:i/>
        </w:rPr>
        <w:t xml:space="preserve"> (Unaprjeđenje i bolja koordinacija politika povezanih s biogospodarstvom) </w:t>
      </w:r>
      <w:r w:rsidR="00B33555" w:rsidRPr="0042150B">
        <w:rPr>
          <w:rFonts w:eastAsia="Calibri" w:cs="Times New Roman"/>
        </w:rPr>
        <w:t xml:space="preserve">su slijedeće: </w:t>
      </w:r>
      <w:r w:rsidR="00B33555" w:rsidRPr="0042150B">
        <w:rPr>
          <w:rFonts w:eastAsia="Calibri" w:cs="Times New Roman"/>
          <w:i/>
        </w:rPr>
        <w:t>Povezati dionike u biogospodarstvu i Utvrditi i ukloniti prepreke razvoju biogospodarstva</w:t>
      </w:r>
      <w:r w:rsidR="00B01AD2">
        <w:rPr>
          <w:rFonts w:eastAsia="Calibri" w:cs="Times New Roman"/>
          <w:i/>
        </w:rPr>
        <w:t>,</w:t>
      </w:r>
      <w:r w:rsidR="00B33555" w:rsidRPr="0042150B">
        <w:rPr>
          <w:rFonts w:eastAsia="Calibri" w:cs="Times New Roman"/>
        </w:rPr>
        <w:t xml:space="preserve"> a potrebe koje imaju svoju direktnu vertikalnu poveznicu </w:t>
      </w:r>
      <w:r w:rsidR="003120EA">
        <w:rPr>
          <w:rFonts w:eastAsia="Calibri" w:cs="Times New Roman"/>
        </w:rPr>
        <w:t xml:space="preserve">na </w:t>
      </w:r>
      <w:r w:rsidR="00B33555" w:rsidRPr="0042150B">
        <w:rPr>
          <w:rFonts w:eastAsia="Calibri" w:cs="Times New Roman"/>
        </w:rPr>
        <w:t>treć</w:t>
      </w:r>
      <w:r w:rsidR="003120EA">
        <w:rPr>
          <w:rFonts w:eastAsia="Calibri" w:cs="Times New Roman"/>
        </w:rPr>
        <w:t>i</w:t>
      </w:r>
      <w:r w:rsidR="00B33555" w:rsidRPr="0042150B">
        <w:rPr>
          <w:rFonts w:eastAsia="Calibri" w:cs="Times New Roman"/>
        </w:rPr>
        <w:t xml:space="preserve"> SC </w:t>
      </w:r>
      <w:r w:rsidR="00B33555" w:rsidRPr="0042150B">
        <w:rPr>
          <w:rFonts w:eastAsia="Calibri" w:cs="Times New Roman"/>
          <w:i/>
        </w:rPr>
        <w:t>(Povećanje dodane vrijednosti u hrvatskom biogospodarstvu</w:t>
      </w:r>
      <w:r w:rsidR="00B33555" w:rsidRPr="0042150B">
        <w:rPr>
          <w:rFonts w:eastAsia="Calibri" w:cs="Times New Roman"/>
        </w:rPr>
        <w:t xml:space="preserve">) su: </w:t>
      </w:r>
      <w:r w:rsidR="00B33555" w:rsidRPr="0042150B">
        <w:rPr>
          <w:rFonts w:eastAsia="Calibri" w:cs="Times New Roman"/>
          <w:i/>
        </w:rPr>
        <w:t xml:space="preserve">Identificirati i promicati odabrane lance vrijednosti u biogospodarstvu i Promicati potrošnju domaćih proizvoda biogospodarstva. </w:t>
      </w:r>
      <w:r w:rsidR="00B33555" w:rsidRPr="0042150B">
        <w:rPr>
          <w:rFonts w:eastAsia="Calibri" w:cs="Times New Roman"/>
        </w:rPr>
        <w:t>Dodatno</w:t>
      </w:r>
      <w:r w:rsidR="009C0B76">
        <w:rPr>
          <w:rFonts w:eastAsia="Calibri" w:cs="Times New Roman"/>
        </w:rPr>
        <w:t xml:space="preserve"> </w:t>
      </w:r>
      <w:r w:rsidR="00B33555" w:rsidRPr="0042150B">
        <w:rPr>
          <w:rFonts w:eastAsia="Calibri" w:cs="Times New Roman"/>
        </w:rPr>
        <w:t>ključno za provjeru interven</w:t>
      </w:r>
      <w:r w:rsidR="005617E7">
        <w:rPr>
          <w:rFonts w:eastAsia="Calibri" w:cs="Times New Roman"/>
        </w:rPr>
        <w:t xml:space="preserve">cijske </w:t>
      </w:r>
      <w:r w:rsidR="00B33555" w:rsidRPr="0042150B">
        <w:rPr>
          <w:rFonts w:eastAsia="Calibri" w:cs="Times New Roman"/>
        </w:rPr>
        <w:t>logike, u tablici 9. je jasno naznačena izravna povezanost svakog od 8 utvrđenih provedbenih mehanizama s dvije do tri</w:t>
      </w:r>
      <w:r w:rsidR="003120EA">
        <w:rPr>
          <w:rFonts w:eastAsia="Calibri" w:cs="Times New Roman"/>
        </w:rPr>
        <w:t xml:space="preserve"> potrebe</w:t>
      </w:r>
      <w:r w:rsidR="00B33555" w:rsidRPr="0042150B">
        <w:rPr>
          <w:rFonts w:eastAsia="Calibri" w:cs="Times New Roman"/>
        </w:rPr>
        <w:t>. Pri tome je z</w:t>
      </w:r>
      <w:r w:rsidR="003120EA">
        <w:rPr>
          <w:rFonts w:eastAsia="Calibri" w:cs="Times New Roman"/>
        </w:rPr>
        <w:t>načajno</w:t>
      </w:r>
      <w:r w:rsidR="00B33555" w:rsidRPr="0042150B">
        <w:rPr>
          <w:rFonts w:eastAsia="Calibri" w:cs="Times New Roman"/>
        </w:rPr>
        <w:t xml:space="preserve"> da se čak četiri provedbena mehanizma vežu za zaista relevantnu potrebu: </w:t>
      </w:r>
      <w:r w:rsidR="00B33555" w:rsidRPr="0042150B">
        <w:rPr>
          <w:rFonts w:eastAsia="Calibri" w:cs="Times New Roman"/>
          <w:i/>
        </w:rPr>
        <w:t>Dodatno poticati istraživanja i inovacije te njihovu primjenu u biogospodarstvu.</w:t>
      </w:r>
    </w:p>
    <w:p w14:paraId="53CFAAAB" w14:textId="3ACBA447" w:rsidR="00B33555" w:rsidRPr="0042150B" w:rsidRDefault="00B33555" w:rsidP="00B33555">
      <w:pPr>
        <w:spacing w:after="200" w:line="276" w:lineRule="auto"/>
        <w:jc w:val="both"/>
        <w:rPr>
          <w:rFonts w:cstheme="minorHAnsi"/>
        </w:rPr>
      </w:pPr>
      <w:r w:rsidRPr="0042150B">
        <w:rPr>
          <w:rFonts w:cstheme="minorHAnsi"/>
        </w:rPr>
        <w:t xml:space="preserve">Vrednovanje primjenom ovog evaluacijskog pitanja potvrdilo je da su strateški ciljevi i provedbeni mehanizmi postavljeni temeljem prethodno dobro formuliranih i relevantnih potreba. Provedbeni mehanizmi proizlaze iz strateških ciljeva koji proizlaze direktno iz potreba utvrđenih u </w:t>
      </w:r>
      <w:r w:rsidR="009C0B76">
        <w:rPr>
          <w:rFonts w:cstheme="minorHAnsi"/>
        </w:rPr>
        <w:t>analizi stanja i SWOT analizi.</w:t>
      </w:r>
      <w:r w:rsidRPr="0042150B">
        <w:rPr>
          <w:rFonts w:cstheme="minorHAnsi"/>
        </w:rPr>
        <w:t xml:space="preserve"> Formuliranje jasnih potreba koje su rezultat sagledavanja ključnih problema i postojećeg razvojnog potencijala u sektoru biogospodarstva izuzetno je značajno kao osnova za izradu prijedloga mjera u narednoj fazi kada će se izrađivati Plan razvoja biogospodarstva  s mjerama i aktivnostima koje će morati imati svoju vertikalnu poveznicu na potrebe </w:t>
      </w:r>
      <w:r w:rsidR="003120EA">
        <w:rPr>
          <w:rFonts w:cstheme="minorHAnsi"/>
        </w:rPr>
        <w:t xml:space="preserve">i strateški okvir </w:t>
      </w:r>
      <w:r w:rsidRPr="0042150B">
        <w:rPr>
          <w:rFonts w:cstheme="minorHAnsi"/>
        </w:rPr>
        <w:t xml:space="preserve">utvrđen u </w:t>
      </w:r>
      <w:r w:rsidR="00645DA1" w:rsidRPr="00B87D94">
        <w:rPr>
          <w:rFonts w:cstheme="minorHAnsi"/>
        </w:rPr>
        <w:t>Nacrt</w:t>
      </w:r>
      <w:r w:rsidR="00645DA1">
        <w:rPr>
          <w:rFonts w:cstheme="minorHAnsi"/>
        </w:rPr>
        <w:t>u Strategije</w:t>
      </w:r>
      <w:r w:rsidRPr="0042150B">
        <w:rPr>
          <w:rFonts w:cstheme="minorHAnsi"/>
        </w:rPr>
        <w:t>. Na osnovu navedenog, mo</w:t>
      </w:r>
      <w:r w:rsidR="00174C14">
        <w:rPr>
          <w:rFonts w:cstheme="minorHAnsi"/>
        </w:rPr>
        <w:t>guće</w:t>
      </w:r>
      <w:r w:rsidRPr="0042150B">
        <w:rPr>
          <w:rFonts w:cstheme="minorHAnsi"/>
        </w:rPr>
        <w:t xml:space="preserve"> </w:t>
      </w:r>
      <w:r w:rsidR="00174C14">
        <w:rPr>
          <w:rFonts w:cstheme="minorHAnsi"/>
        </w:rPr>
        <w:t xml:space="preserve">je </w:t>
      </w:r>
      <w:r w:rsidRPr="0042150B">
        <w:rPr>
          <w:rFonts w:cstheme="minorHAnsi"/>
        </w:rPr>
        <w:t>zaključiti da su strateški ciljevi i provedbeni mehanizmi utvrđeni na logičan način te da je jasna povezanost strateškog okvira s potrebama</w:t>
      </w:r>
      <w:r w:rsidR="00174C14">
        <w:rPr>
          <w:rFonts w:cstheme="minorHAnsi"/>
        </w:rPr>
        <w:t>,</w:t>
      </w:r>
      <w:r w:rsidRPr="0042150B">
        <w:rPr>
          <w:rFonts w:cstheme="minorHAnsi"/>
        </w:rPr>
        <w:t xml:space="preserve"> </w:t>
      </w:r>
      <w:r w:rsidR="003120EA">
        <w:rPr>
          <w:rFonts w:cstheme="minorHAnsi"/>
        </w:rPr>
        <w:t xml:space="preserve">što potvrđuje da </w:t>
      </w:r>
      <w:r w:rsidRPr="0042150B">
        <w:rPr>
          <w:rFonts w:cstheme="minorHAnsi"/>
        </w:rPr>
        <w:t xml:space="preserve">je postignuta neophodna </w:t>
      </w:r>
      <w:r w:rsidR="005617E7" w:rsidRPr="0042150B">
        <w:rPr>
          <w:rFonts w:cstheme="minorHAnsi"/>
        </w:rPr>
        <w:t>interve</w:t>
      </w:r>
      <w:r w:rsidR="005617E7">
        <w:rPr>
          <w:rFonts w:cstheme="minorHAnsi"/>
        </w:rPr>
        <w:t>ncijska</w:t>
      </w:r>
      <w:r w:rsidR="005617E7" w:rsidRPr="0042150B">
        <w:rPr>
          <w:rFonts w:cstheme="minorHAnsi"/>
        </w:rPr>
        <w:t xml:space="preserve"> </w:t>
      </w:r>
      <w:r w:rsidRPr="0042150B">
        <w:rPr>
          <w:rFonts w:cstheme="minorHAnsi"/>
        </w:rPr>
        <w:t>logika Strategije.</w:t>
      </w:r>
    </w:p>
    <w:p w14:paraId="25A41C07" w14:textId="77777777" w:rsidR="00B33555" w:rsidRPr="00224015" w:rsidRDefault="00B33555" w:rsidP="00B33555">
      <w:pPr>
        <w:spacing w:after="200" w:line="276" w:lineRule="auto"/>
        <w:jc w:val="both"/>
        <w:rPr>
          <w:rFonts w:asciiTheme="majorHAnsi" w:hAnsiTheme="majorHAnsi" w:cstheme="majorHAnsi"/>
          <w:color w:val="0070C0"/>
          <w:sz w:val="28"/>
          <w:szCs w:val="28"/>
        </w:rPr>
      </w:pPr>
      <w:r w:rsidRPr="00224015">
        <w:rPr>
          <w:rFonts w:asciiTheme="majorHAnsi" w:hAnsiTheme="majorHAnsi" w:cstheme="majorHAnsi"/>
          <w:b/>
          <w:bCs/>
          <w:color w:val="0070C0"/>
          <w:sz w:val="28"/>
          <w:szCs w:val="28"/>
        </w:rPr>
        <w:t>Kriterij vanjske usklađenosti/koherentnosti</w:t>
      </w:r>
    </w:p>
    <w:p w14:paraId="23D40845" w14:textId="77777777" w:rsidR="00B33555" w:rsidRPr="00224015" w:rsidRDefault="00B33555" w:rsidP="00B33555">
      <w:pPr>
        <w:spacing w:after="200" w:line="276" w:lineRule="auto"/>
        <w:jc w:val="both"/>
        <w:rPr>
          <w:rFonts w:cstheme="minorHAnsi"/>
          <w:b/>
          <w:color w:val="0070C0"/>
        </w:rPr>
      </w:pPr>
      <w:r w:rsidRPr="00224015">
        <w:rPr>
          <w:rFonts w:cstheme="minorHAnsi"/>
          <w:b/>
          <w:color w:val="0070C0"/>
          <w:u w:val="single"/>
        </w:rPr>
        <w:t>Evaluacijsko pitanje 3.:</w:t>
      </w:r>
      <w:r w:rsidRPr="00224015">
        <w:rPr>
          <w:rFonts w:cstheme="minorHAnsi"/>
          <w:b/>
          <w:color w:val="0070C0"/>
        </w:rPr>
        <w:t xml:space="preserve"> Kakva je usklađenost Strategije sa svim ključnim nadređenim (krovnim) strateškim dokumentima  na nacionalnoj i EU razini te s relevantnim sektorskim strategijama?</w:t>
      </w:r>
    </w:p>
    <w:p w14:paraId="184DFCBC" w14:textId="77777777" w:rsidR="00B33555" w:rsidRPr="0042150B" w:rsidRDefault="00B33555" w:rsidP="00B33555">
      <w:pPr>
        <w:spacing w:line="276" w:lineRule="auto"/>
        <w:jc w:val="both"/>
        <w:rPr>
          <w:rFonts w:eastAsia="Calibri" w:cs="Times New Roman"/>
        </w:rPr>
      </w:pPr>
      <w:r w:rsidRPr="0042150B">
        <w:rPr>
          <w:rFonts w:eastAsia="Calibri" w:cs="Times New Roman"/>
          <w:bCs/>
        </w:rPr>
        <w:t xml:space="preserve">Strateško usmjerenje za Strategiju određeno je u prvom redu </w:t>
      </w:r>
      <w:r w:rsidRPr="003120EA">
        <w:rPr>
          <w:rFonts w:eastAsia="Calibri" w:cs="Times New Roman"/>
          <w:b/>
          <w:bCs/>
        </w:rPr>
        <w:t>Nacionalnom razvojnom strategijom Republike Hrvatske do 2030 (</w:t>
      </w:r>
      <w:r w:rsidRPr="003120EA">
        <w:rPr>
          <w:rFonts w:eastAsia="Calibri" w:cs="Times New Roman"/>
          <w:b/>
          <w:bCs/>
          <w:i/>
          <w:iCs/>
        </w:rPr>
        <w:t>NRS 2030)</w:t>
      </w:r>
      <w:r w:rsidRPr="003120EA">
        <w:rPr>
          <w:rFonts w:eastAsia="Calibri" w:cs="Times New Roman"/>
          <w:b/>
          <w:i/>
          <w:iCs/>
        </w:rPr>
        <w:t>.</w:t>
      </w:r>
      <w:r w:rsidRPr="0042150B">
        <w:rPr>
          <w:rFonts w:eastAsia="Calibri" w:cs="Times New Roman"/>
          <w:i/>
          <w:iCs/>
        </w:rPr>
        <w:t xml:space="preserve"> </w:t>
      </w:r>
      <w:r w:rsidRPr="0042150B">
        <w:rPr>
          <w:rFonts w:eastAsia="Calibri" w:cs="Times New Roman"/>
        </w:rPr>
        <w:t xml:space="preserve">Tema biogospodarstva je obrađena u strateškom cilju 9. </w:t>
      </w:r>
      <w:r w:rsidRPr="0042150B">
        <w:rPr>
          <w:rFonts w:eastAsia="Calibri" w:cs="Times New Roman"/>
          <w:i/>
        </w:rPr>
        <w:t>„Samodostatnost u hrani i razvoj biogospodarstva</w:t>
      </w:r>
      <w:r w:rsidRPr="0042150B">
        <w:rPr>
          <w:rFonts w:eastAsia="Calibri" w:cs="Times New Roman"/>
        </w:rPr>
        <w:t>“, gdje je biogospodarstvo identificirano kao djelatnost koja može doprinijeti oživljavanju ruralnih područja. Ta ključna povezanost svakog akta strateškog planiranja u RH sa NRS 2030., pa tako i Strategije biogospodarstva do 2035. vidljiva je i iz formulirane vizije u Strategiji:</w:t>
      </w:r>
    </w:p>
    <w:p w14:paraId="02E57E95" w14:textId="77777777" w:rsidR="00B33555" w:rsidRPr="0042150B" w:rsidRDefault="00B33555" w:rsidP="00B33555">
      <w:pPr>
        <w:spacing w:line="276" w:lineRule="auto"/>
        <w:ind w:left="284"/>
        <w:jc w:val="both"/>
        <w:rPr>
          <w:rFonts w:eastAsia="Calibri" w:cs="Times New Roman"/>
          <w:color w:val="385623"/>
          <w:szCs w:val="24"/>
        </w:rPr>
      </w:pPr>
      <w:r w:rsidRPr="0042150B">
        <w:rPr>
          <w:rFonts w:eastAsia="Calibri" w:cs="Times New Roman"/>
          <w:i/>
          <w:iCs/>
          <w:color w:val="385623"/>
          <w:szCs w:val="24"/>
        </w:rPr>
        <w:t>Biogospodarstvo će se do 2035. godine ubrzano razvijati kao dinamična i diverzificirana djelatnost, koja daje značajan doprinos ukupnim gospodarskim aktivnostima u Republici Hrvatskoj i njihovoj održivosti, što je, uz smanjenje ovisnosti Republike Hrvatske o sirovinama iz neobnovljivih izvora, posebno važno za ruralna područja.</w:t>
      </w:r>
    </w:p>
    <w:p w14:paraId="3935DC24" w14:textId="1511B176" w:rsidR="00B33555" w:rsidRPr="0042150B" w:rsidRDefault="00B33555" w:rsidP="00B33555">
      <w:pPr>
        <w:spacing w:line="276" w:lineRule="auto"/>
        <w:jc w:val="both"/>
        <w:rPr>
          <w:rFonts w:eastAsia="Calibri" w:cs="Times New Roman"/>
        </w:rPr>
      </w:pPr>
      <w:r w:rsidRPr="0042150B">
        <w:rPr>
          <w:rFonts w:eastAsia="Calibri" w:cs="Times New Roman"/>
        </w:rPr>
        <w:t xml:space="preserve">Svaki od tri postavljena strateška cilja Strategije doprinosi ostvarenju vizije iz čega je dodatno vidljivo u kojoj mjeri je </w:t>
      </w:r>
      <w:r w:rsidR="00645DA1" w:rsidRPr="00B87D94">
        <w:rPr>
          <w:rFonts w:cstheme="minorHAnsi"/>
        </w:rPr>
        <w:t>Nacrta</w:t>
      </w:r>
      <w:r w:rsidR="00645DA1" w:rsidRPr="00154905">
        <w:rPr>
          <w:rFonts w:cstheme="minorHAnsi"/>
        </w:rPr>
        <w:t xml:space="preserve"> </w:t>
      </w:r>
      <w:r w:rsidRPr="0042150B">
        <w:rPr>
          <w:rFonts w:eastAsia="Calibri" w:cs="Times New Roman"/>
        </w:rPr>
        <w:t>Strategij</w:t>
      </w:r>
      <w:r w:rsidR="00645DA1">
        <w:rPr>
          <w:rFonts w:eastAsia="Calibri" w:cs="Times New Roman"/>
        </w:rPr>
        <w:t>e</w:t>
      </w:r>
      <w:r w:rsidRPr="0042150B">
        <w:rPr>
          <w:rFonts w:eastAsia="Calibri" w:cs="Times New Roman"/>
        </w:rPr>
        <w:t xml:space="preserve"> usklađen sa ključnim nadređenim dokumentom u RH.</w:t>
      </w:r>
    </w:p>
    <w:p w14:paraId="624B2BE4" w14:textId="739FB525" w:rsidR="00B33555" w:rsidRPr="0042150B" w:rsidRDefault="00B33555" w:rsidP="00B33555">
      <w:pPr>
        <w:spacing w:line="276" w:lineRule="auto"/>
        <w:jc w:val="both"/>
        <w:rPr>
          <w:rFonts w:eastAsia="Calibri" w:cs="Times New Roman"/>
        </w:rPr>
      </w:pPr>
      <w:r w:rsidRPr="0042150B">
        <w:rPr>
          <w:rFonts w:eastAsia="Calibri" w:cs="Times New Roman"/>
        </w:rPr>
        <w:lastRenderedPageBreak/>
        <w:t>Vezano za sektorske relevantne strategije, vanjska usklađenost je istaknuta u odnosu na cijeli niz akata strateškog planiranja</w:t>
      </w:r>
      <w:r w:rsidR="006C5598">
        <w:rPr>
          <w:rFonts w:eastAsia="Calibri" w:cs="Times New Roman"/>
        </w:rPr>
        <w:t>,</w:t>
      </w:r>
      <w:r w:rsidRPr="0042150B">
        <w:rPr>
          <w:rFonts w:eastAsia="Calibri" w:cs="Times New Roman"/>
        </w:rPr>
        <w:t xml:space="preserve"> a među njima valja istaknuti </w:t>
      </w:r>
      <w:r w:rsidRPr="0042150B">
        <w:rPr>
          <w:rFonts w:eastAsia="Calibri" w:cs="Times New Roman"/>
          <w:bCs/>
          <w:i/>
          <w:iCs/>
        </w:rPr>
        <w:t xml:space="preserve"> Strategiju poljoprivrede do 2030</w:t>
      </w:r>
      <w:r w:rsidRPr="0042150B">
        <w:rPr>
          <w:rFonts w:eastAsia="Calibri" w:cs="Times New Roman"/>
          <w:i/>
          <w:iCs/>
        </w:rPr>
        <w:t xml:space="preserve">. </w:t>
      </w:r>
      <w:r w:rsidRPr="0042150B">
        <w:rPr>
          <w:rFonts w:eastAsia="Calibri" w:cs="Times New Roman"/>
        </w:rPr>
        <w:t>(</w:t>
      </w:r>
      <w:r w:rsidRPr="00202FEB">
        <w:rPr>
          <w:rFonts w:eastAsia="Calibri" w:cs="Times New Roman"/>
        </w:rPr>
        <w:t>NN</w:t>
      </w:r>
      <w:r w:rsidRPr="0042150B">
        <w:rPr>
          <w:rFonts w:eastAsia="Calibri" w:cs="Times New Roman"/>
        </w:rPr>
        <w:t xml:space="preserve">, br. 26/22) u kojoj je predviđen provedbeni mehanizam E.2 „Razvoj i provedba nacionalne strategije biogospodarstva“. Nadalje, u </w:t>
      </w:r>
      <w:r w:rsidRPr="003120EA">
        <w:rPr>
          <w:rFonts w:eastAsia="Calibri" w:cs="Times New Roman"/>
          <w:b/>
          <w:bCs/>
          <w:i/>
          <w:iCs/>
        </w:rPr>
        <w:t>Strategiji pametne specijalizacije Republike Hrvatske za razdoblje od 2016. do 2020. godine</w:t>
      </w:r>
      <w:r w:rsidRPr="00202FEB">
        <w:rPr>
          <w:rFonts w:eastAsia="Calibri" w:cs="Times New Roman"/>
          <w:bCs/>
          <w:i/>
          <w:iCs/>
        </w:rPr>
        <w:t xml:space="preserve"> </w:t>
      </w:r>
      <w:r w:rsidRPr="0042150B">
        <w:rPr>
          <w:rFonts w:eastAsia="Calibri" w:cs="Times New Roman"/>
        </w:rPr>
        <w:t>(N</w:t>
      </w:r>
      <w:r w:rsidRPr="00202FEB">
        <w:rPr>
          <w:rFonts w:eastAsia="Calibri" w:cs="Times New Roman"/>
        </w:rPr>
        <w:t>N</w:t>
      </w:r>
      <w:r w:rsidRPr="0042150B">
        <w:rPr>
          <w:rFonts w:eastAsia="Calibri" w:cs="Times New Roman"/>
        </w:rPr>
        <w:t xml:space="preserve">, br. 32/16) uključena je tema biogospodarstva u tematsko prioritetno područje 5. „Hrana i bioekonomija“.  Valja istaknuti da je </w:t>
      </w:r>
      <w:r w:rsidRPr="0042150B">
        <w:t xml:space="preserve">Vlada RH donijela  i </w:t>
      </w:r>
      <w:r w:rsidRPr="003120EA">
        <w:rPr>
          <w:b/>
          <w:i/>
        </w:rPr>
        <w:t>Strategiju pametne specijalizacije do 2029. godine</w:t>
      </w:r>
      <w:r w:rsidRPr="0042150B">
        <w:rPr>
          <w:i/>
        </w:rPr>
        <w:t xml:space="preserve"> </w:t>
      </w:r>
      <w:r w:rsidRPr="003120EA">
        <w:t>u prosincu 2023</w:t>
      </w:r>
      <w:r w:rsidRPr="0042150B">
        <w:rPr>
          <w:rStyle w:val="Referencafusnote"/>
        </w:rPr>
        <w:footnoteReference w:id="3"/>
      </w:r>
      <w:r w:rsidRPr="0042150B">
        <w:t xml:space="preserve"> u kojoj je uključena  </w:t>
      </w:r>
      <w:r w:rsidRPr="0042150B">
        <w:rPr>
          <w:rFonts w:eastAsia="Calibri" w:cs="Calibri"/>
          <w:bCs/>
        </w:rPr>
        <w:t>tema biogospodarstva u tematska prioritetna područja „Održiva i kružna hrana“ te „.Prilagođeni i integrirani proizvodi od drva“ s time da je za svako od tematskih prioritetnih područja predviđeno osnivanje tematskih inovacijskih vijeća kao tijela koja sudjeluju u kreiranju politika putem planova transformacijskog razvoja.</w:t>
      </w:r>
    </w:p>
    <w:p w14:paraId="78DFC05D" w14:textId="6993693D" w:rsidR="00B33555" w:rsidRPr="0042150B" w:rsidRDefault="00B33555" w:rsidP="00B33555">
      <w:pPr>
        <w:spacing w:line="276" w:lineRule="auto"/>
        <w:jc w:val="both"/>
        <w:rPr>
          <w:rFonts w:eastAsia="Calibri" w:cs="Times New Roman"/>
        </w:rPr>
      </w:pPr>
      <w:r w:rsidRPr="0042150B">
        <w:rPr>
          <w:rFonts w:eastAsia="Calibri" w:cs="Times New Roman"/>
          <w:bCs/>
          <w:iCs/>
        </w:rPr>
        <w:t xml:space="preserve">Usklađenost je postignuta i sa </w:t>
      </w:r>
      <w:r w:rsidRPr="006466DA">
        <w:rPr>
          <w:rFonts w:eastAsia="Calibri" w:cs="Times New Roman"/>
          <w:b/>
          <w:bCs/>
          <w:i/>
          <w:iCs/>
        </w:rPr>
        <w:t xml:space="preserve">Strategijom niskougljičnog razvoja Republike Hrvatske do 2030. s pogledom na 2050. godinu </w:t>
      </w:r>
      <w:r w:rsidRPr="0042150B">
        <w:rPr>
          <w:rFonts w:eastAsia="Calibri" w:cs="Times New Roman"/>
        </w:rPr>
        <w:t>(N</w:t>
      </w:r>
      <w:r w:rsidR="006C5598">
        <w:rPr>
          <w:rFonts w:eastAsia="Calibri" w:cs="Times New Roman"/>
        </w:rPr>
        <w:t>N</w:t>
      </w:r>
      <w:r w:rsidRPr="0042150B">
        <w:rPr>
          <w:rFonts w:eastAsia="Calibri" w:cs="Times New Roman"/>
        </w:rPr>
        <w:t>, br. 63/21) s obzirom da je u njoj istaknut značaj biogospodarstva za smanjenje emisija stakleničkih plinova u kontekstu povećanja proizvodnje, korištenja energije iz obnovljivih izvora i gospodarenje proizvodnim otpadom u skladu s načelima biogospodarstva.  Strategija sadrži niz relevantnih mjera za biogospodarstvo, a među njima su: uspostava platforme za biogospodarstvo (mjera MCC</w:t>
      </w:r>
      <w:r w:rsidR="006C5598">
        <w:rPr>
          <w:rFonts w:eastAsia="Calibri" w:cs="Times New Roman"/>
        </w:rPr>
        <w:t>-</w:t>
      </w:r>
      <w:r w:rsidRPr="0042150B">
        <w:rPr>
          <w:rFonts w:eastAsia="Calibri" w:cs="Times New Roman"/>
        </w:rPr>
        <w:t>12), uspostava platforme za kružno gospodarstvo (MCC-11), poticanje razvoja poduzetništva na području niskougljičnog gospodarstva (MCC-19) i niz drugih.</w:t>
      </w:r>
    </w:p>
    <w:p w14:paraId="27B95D10" w14:textId="49AC7E62" w:rsidR="006466DA" w:rsidRDefault="00B33555" w:rsidP="006466DA">
      <w:pPr>
        <w:spacing w:after="0" w:line="276" w:lineRule="auto"/>
        <w:jc w:val="both"/>
        <w:rPr>
          <w:rFonts w:eastAsia="Calibri" w:cs="Times New Roman"/>
        </w:rPr>
      </w:pPr>
      <w:r w:rsidRPr="0042150B">
        <w:rPr>
          <w:rFonts w:eastAsia="Calibri" w:cs="Times New Roman"/>
          <w:bCs/>
          <w:iCs/>
        </w:rPr>
        <w:t xml:space="preserve">Nadalje, Strategija ima svoju </w:t>
      </w:r>
      <w:r w:rsidRPr="003120EA">
        <w:rPr>
          <w:rFonts w:eastAsia="Calibri" w:cs="Times New Roman"/>
          <w:bCs/>
          <w:iCs/>
        </w:rPr>
        <w:t>poveznicu i na</w:t>
      </w:r>
      <w:r w:rsidRPr="0042150B">
        <w:rPr>
          <w:rFonts w:eastAsia="Calibri" w:cs="Times New Roman"/>
          <w:bCs/>
          <w:i/>
          <w:iCs/>
        </w:rPr>
        <w:t xml:space="preserve"> </w:t>
      </w:r>
      <w:r w:rsidRPr="003120EA">
        <w:rPr>
          <w:rFonts w:eastAsia="Calibri" w:cs="Times New Roman"/>
          <w:b/>
          <w:bCs/>
          <w:i/>
          <w:iCs/>
        </w:rPr>
        <w:t>Strategiju energetskog razvoja Republike Hrvatske do 2030. s pogledom na 2050. godinu</w:t>
      </w:r>
      <w:r w:rsidRPr="00202FEB">
        <w:rPr>
          <w:rFonts w:eastAsia="Calibri" w:cs="Times New Roman"/>
          <w:bCs/>
          <w:i/>
          <w:iCs/>
        </w:rPr>
        <w:t xml:space="preserve"> </w:t>
      </w:r>
      <w:r w:rsidRPr="0042150B">
        <w:rPr>
          <w:rFonts w:eastAsia="Calibri" w:cs="Times New Roman"/>
        </w:rPr>
        <w:t>(N</w:t>
      </w:r>
      <w:r w:rsidR="006C5598">
        <w:rPr>
          <w:rFonts w:eastAsia="Calibri" w:cs="Times New Roman"/>
        </w:rPr>
        <w:t>N</w:t>
      </w:r>
      <w:r w:rsidRPr="0042150B">
        <w:rPr>
          <w:rFonts w:eastAsia="Calibri" w:cs="Times New Roman"/>
        </w:rPr>
        <w:t xml:space="preserve">, br. 25/20) koja sadrži kraće poglavlje o ulozi biospodarstva u povećanju energetske neovisnosti proizvodnjom energije iz biomase. </w:t>
      </w:r>
    </w:p>
    <w:p w14:paraId="1B06FC59" w14:textId="77777777" w:rsidR="006466DA" w:rsidRDefault="006466DA" w:rsidP="006466DA">
      <w:pPr>
        <w:spacing w:after="0" w:line="276" w:lineRule="auto"/>
        <w:jc w:val="both"/>
        <w:rPr>
          <w:rFonts w:eastAsia="Calibri" w:cs="Times New Roman"/>
          <w:bCs/>
          <w:iCs/>
        </w:rPr>
      </w:pPr>
    </w:p>
    <w:p w14:paraId="5169E7D8" w14:textId="77777777" w:rsidR="005617E7" w:rsidRDefault="00B33555" w:rsidP="005617E7">
      <w:pPr>
        <w:spacing w:after="0" w:line="276" w:lineRule="auto"/>
        <w:jc w:val="both"/>
        <w:rPr>
          <w:rFonts w:eastAsia="Calibri" w:cs="Times New Roman"/>
        </w:rPr>
      </w:pPr>
      <w:r w:rsidRPr="0042150B">
        <w:rPr>
          <w:rFonts w:eastAsia="Calibri" w:cs="Times New Roman"/>
          <w:bCs/>
          <w:iCs/>
        </w:rPr>
        <w:t>Konačno, ne manje važno, vanjska koherentnost vidljiva je i u odnosu na ciljeve</w:t>
      </w:r>
      <w:r w:rsidR="003120EA">
        <w:rPr>
          <w:rFonts w:eastAsia="Calibri" w:cs="Times New Roman"/>
          <w:bCs/>
          <w:i/>
          <w:iCs/>
        </w:rPr>
        <w:t xml:space="preserve"> </w:t>
      </w:r>
      <w:r w:rsidRPr="003120EA">
        <w:rPr>
          <w:rFonts w:eastAsia="Calibri" w:cs="Times New Roman"/>
          <w:b/>
          <w:bCs/>
          <w:i/>
          <w:iCs/>
        </w:rPr>
        <w:t>Strategije biogospodarstva</w:t>
      </w:r>
      <w:r w:rsidRPr="003120EA">
        <w:rPr>
          <w:rFonts w:eastAsia="Calibri" w:cs="Times New Roman"/>
          <w:b/>
          <w:bCs/>
        </w:rPr>
        <w:t xml:space="preserve"> EU</w:t>
      </w:r>
      <w:r w:rsidRPr="0042150B">
        <w:rPr>
          <w:rFonts w:eastAsia="Calibri" w:cs="Times New Roman"/>
          <w:bCs/>
        </w:rPr>
        <w:t xml:space="preserve"> iz 2018.</w:t>
      </w:r>
      <w:r w:rsidR="003120EA">
        <w:rPr>
          <w:rFonts w:eastAsia="Calibri" w:cs="Times New Roman"/>
          <w:bCs/>
        </w:rPr>
        <w:t xml:space="preserve"> </w:t>
      </w:r>
      <w:r w:rsidRPr="0042150B">
        <w:rPr>
          <w:rFonts w:eastAsia="Calibri" w:cs="Times New Roman"/>
          <w:bCs/>
        </w:rPr>
        <w:t xml:space="preserve">koji </w:t>
      </w:r>
      <w:r w:rsidRPr="0042150B">
        <w:rPr>
          <w:rFonts w:eastAsia="Calibri" w:cs="Times New Roman"/>
        </w:rPr>
        <w:t>podrazumijevaju postizanje prehrambene sigurnosti, ali i održivo upravljanje prirodnim resursima i smanjenje ovisnosti o neobnovljivim izvorima.</w:t>
      </w:r>
    </w:p>
    <w:p w14:paraId="28811D1A" w14:textId="77777777" w:rsidR="005617E7" w:rsidRDefault="005617E7" w:rsidP="005617E7">
      <w:pPr>
        <w:spacing w:after="0" w:line="276" w:lineRule="auto"/>
        <w:jc w:val="both"/>
        <w:rPr>
          <w:rFonts w:cstheme="minorHAnsi"/>
        </w:rPr>
      </w:pPr>
    </w:p>
    <w:p w14:paraId="4388E378" w14:textId="66F03729" w:rsidR="00B33555" w:rsidRPr="005617E7" w:rsidRDefault="00B33555" w:rsidP="005617E7">
      <w:pPr>
        <w:spacing w:after="0" w:line="276" w:lineRule="auto"/>
        <w:jc w:val="both"/>
        <w:rPr>
          <w:rFonts w:eastAsia="Calibri" w:cs="Times New Roman"/>
        </w:rPr>
      </w:pPr>
      <w:r w:rsidRPr="0042150B">
        <w:rPr>
          <w:rFonts w:cstheme="minorHAnsi"/>
        </w:rPr>
        <w:t>Iz navedenog je vidljivo da je usklađenost Strategije  s ključnim nadređenim strateškim dokumentom, Nacionalnom  razvojnom strategijom RH do 2030. godine neupitna te da je Strategija usklađena sa svim relevantnim sektorskim nacionalnim strategijama kao i nadređenim strateškim razvojnim dokumentima na EU i globalnoj razini koje se dotiču problematike biogospodarstva</w:t>
      </w:r>
      <w:r w:rsidRPr="0042150B">
        <w:rPr>
          <w:rFonts w:cstheme="minorHAnsi"/>
          <w:i/>
        </w:rPr>
        <w:t xml:space="preserve">.  </w:t>
      </w:r>
    </w:p>
    <w:p w14:paraId="0657CEA0" w14:textId="77777777" w:rsidR="00F67CF9" w:rsidRDefault="00F67CF9" w:rsidP="00B33555">
      <w:pPr>
        <w:spacing w:after="200" w:line="276" w:lineRule="auto"/>
        <w:jc w:val="both"/>
        <w:rPr>
          <w:rFonts w:asciiTheme="majorHAnsi" w:hAnsiTheme="majorHAnsi" w:cstheme="majorHAnsi"/>
          <w:b/>
          <w:bCs/>
          <w:color w:val="0070C0"/>
          <w:sz w:val="28"/>
          <w:szCs w:val="28"/>
        </w:rPr>
      </w:pPr>
    </w:p>
    <w:p w14:paraId="7E1C77AE" w14:textId="6AF2F96E" w:rsidR="00B33555" w:rsidRPr="00224015" w:rsidRDefault="00B33555" w:rsidP="00B33555">
      <w:pPr>
        <w:spacing w:after="200" w:line="276" w:lineRule="auto"/>
        <w:jc w:val="both"/>
        <w:rPr>
          <w:rFonts w:asciiTheme="majorHAnsi" w:hAnsiTheme="majorHAnsi" w:cstheme="majorHAnsi"/>
          <w:color w:val="0070C0"/>
          <w:sz w:val="28"/>
          <w:szCs w:val="28"/>
        </w:rPr>
      </w:pPr>
      <w:r w:rsidRPr="00224015">
        <w:rPr>
          <w:rFonts w:asciiTheme="majorHAnsi" w:hAnsiTheme="majorHAnsi" w:cstheme="majorHAnsi"/>
          <w:b/>
          <w:bCs/>
          <w:color w:val="0070C0"/>
          <w:sz w:val="28"/>
          <w:szCs w:val="28"/>
        </w:rPr>
        <w:t>Kriterij učinkovitosti/efektivnosti</w:t>
      </w:r>
    </w:p>
    <w:p w14:paraId="152A17B5" w14:textId="43AE0751" w:rsidR="00B33555" w:rsidRPr="00224015" w:rsidRDefault="00B33555" w:rsidP="00B33555">
      <w:pPr>
        <w:spacing w:after="200" w:line="276" w:lineRule="auto"/>
        <w:jc w:val="both"/>
        <w:rPr>
          <w:rFonts w:cstheme="minorHAnsi"/>
          <w:color w:val="0070C0"/>
        </w:rPr>
      </w:pPr>
      <w:r w:rsidRPr="00224015">
        <w:rPr>
          <w:rFonts w:cstheme="minorHAnsi"/>
          <w:b/>
          <w:color w:val="0070C0"/>
          <w:u w:val="single"/>
        </w:rPr>
        <w:t>Evaluacijsko pitanje 4</w:t>
      </w:r>
      <w:r w:rsidRPr="00224015">
        <w:rPr>
          <w:rFonts w:cstheme="minorHAnsi"/>
          <w:b/>
          <w:color w:val="0070C0"/>
        </w:rPr>
        <w:t>.: Predstavljaju li u Strategiji predloženi strateški ciljevi i provedbeni mehanizmi najbolji način rješavanja razvojnih potreba u sektoru biogospodarstva?</w:t>
      </w:r>
    </w:p>
    <w:p w14:paraId="0ADC3B58" w14:textId="41A0CD0C" w:rsidR="00B33555" w:rsidRDefault="00B33555" w:rsidP="00B33555">
      <w:pPr>
        <w:spacing w:after="200" w:line="276" w:lineRule="auto"/>
        <w:jc w:val="both"/>
      </w:pPr>
      <w:r w:rsidRPr="00C80B75">
        <w:lastRenderedPageBreak/>
        <w:t>Ovo se pitanje nadovezuje i na kriterij relevantnosti, tj. poglavito na prvo, a u manjoj mjeri i na drugo evaluacijsko pitanje, s obzirom na povezanost analitičkog i strateškog dijela Strategije koji tvori unutarnju interven</w:t>
      </w:r>
      <w:r w:rsidR="005617E7">
        <w:t>cijsku</w:t>
      </w:r>
      <w:r w:rsidRPr="00C80B75">
        <w:t xml:space="preserve"> logiku akta strateškog planiranja.</w:t>
      </w:r>
    </w:p>
    <w:p w14:paraId="3DDD6879" w14:textId="143F1942" w:rsidR="00B33555" w:rsidRPr="0042150B" w:rsidRDefault="00B33555" w:rsidP="00B33555">
      <w:pPr>
        <w:spacing w:after="200" w:line="276" w:lineRule="auto"/>
        <w:jc w:val="both"/>
        <w:rPr>
          <w:rFonts w:cstheme="minorHAnsi"/>
          <w:bCs/>
          <w:i/>
        </w:rPr>
      </w:pPr>
      <w:r w:rsidRPr="00C80B75">
        <w:rPr>
          <w:rFonts w:cstheme="minorHAnsi"/>
          <w:bCs/>
        </w:rPr>
        <w:t xml:space="preserve">Argumentiranom utvrđivanju i formuliranju razvojnih potreba posvećena je posebna pozornost tijekom vrednovanja </w:t>
      </w:r>
      <w:r w:rsidR="00645DA1">
        <w:rPr>
          <w:rFonts w:cstheme="minorHAnsi"/>
          <w:bCs/>
        </w:rPr>
        <w:t xml:space="preserve">Nacrta </w:t>
      </w:r>
      <w:r w:rsidRPr="00C80B75">
        <w:rPr>
          <w:rFonts w:cstheme="minorHAnsi"/>
          <w:bCs/>
        </w:rPr>
        <w:t xml:space="preserve">Strategije u okviru kriterija relevantnosti, kao i unutarnje usklađenosti i jasnoće s obzirom na činjenicu da </w:t>
      </w:r>
      <w:r w:rsidR="00174C14">
        <w:rPr>
          <w:rFonts w:cstheme="minorHAnsi"/>
          <w:bCs/>
        </w:rPr>
        <w:t xml:space="preserve">je riječ </w:t>
      </w:r>
      <w:r w:rsidRPr="00C80B75">
        <w:rPr>
          <w:rFonts w:cstheme="minorHAnsi"/>
          <w:bCs/>
        </w:rPr>
        <w:t>o prvom ključnom koraku neophodnom za definiranje kvalitetnog strateškog okvira. Jednom</w:t>
      </w:r>
      <w:r w:rsidR="00174C14">
        <w:rPr>
          <w:rFonts w:cstheme="minorHAnsi"/>
          <w:bCs/>
        </w:rPr>
        <w:t>,</w:t>
      </w:r>
      <w:r w:rsidRPr="00C80B75">
        <w:rPr>
          <w:rFonts w:cstheme="minorHAnsi"/>
          <w:bCs/>
        </w:rPr>
        <w:t xml:space="preserve"> kad su definirane potrebe poslužile u smislu dobro argumentirane objedinjene refleksije ključnih razvojnih problema i postojećih potencijala u </w:t>
      </w:r>
      <w:r w:rsidR="00645DA1" w:rsidRPr="00B87D94">
        <w:rPr>
          <w:rFonts w:cstheme="minorHAnsi"/>
        </w:rPr>
        <w:t>Nacrt</w:t>
      </w:r>
      <w:r w:rsidR="00645DA1">
        <w:rPr>
          <w:rFonts w:cstheme="minorHAnsi"/>
        </w:rPr>
        <w:t xml:space="preserve">u </w:t>
      </w:r>
      <w:r w:rsidRPr="00C80B75">
        <w:rPr>
          <w:rFonts w:cstheme="minorHAnsi"/>
          <w:bCs/>
        </w:rPr>
        <w:t>Strategij</w:t>
      </w:r>
      <w:r w:rsidR="00645DA1">
        <w:rPr>
          <w:rFonts w:cstheme="minorHAnsi"/>
          <w:bCs/>
        </w:rPr>
        <w:t>e</w:t>
      </w:r>
      <w:r w:rsidRPr="00C80B75">
        <w:rPr>
          <w:rFonts w:cstheme="minorHAnsi"/>
          <w:bCs/>
        </w:rPr>
        <w:t>, provjereno je da li mogu poslužiti kao opravdana osnova za definiranje i opisivanje strateških ciljeva i provedbenih mehanizama. U tom smislu je bilo relevantno razmatranje analitičke građe, obrazloženja i ocjena u Poglavlju 2.2. Strategije (</w:t>
      </w:r>
      <w:r w:rsidRPr="00C80B75">
        <w:rPr>
          <w:rFonts w:cstheme="minorHAnsi"/>
          <w:bCs/>
          <w:i/>
        </w:rPr>
        <w:t>Razvoj biogospodarstva u Republici Hrvatskoj</w:t>
      </w:r>
      <w:r w:rsidRPr="00C80B75">
        <w:rPr>
          <w:rFonts w:cstheme="minorHAnsi"/>
          <w:bCs/>
        </w:rPr>
        <w:t xml:space="preserve">), u okviru kojega su u cjelini obrazložene potrebe i potencijali u </w:t>
      </w:r>
      <w:r w:rsidR="00645DA1" w:rsidRPr="00B87D94">
        <w:rPr>
          <w:rFonts w:cstheme="minorHAnsi"/>
        </w:rPr>
        <w:t>Nacrt</w:t>
      </w:r>
      <w:r w:rsidR="00645DA1">
        <w:rPr>
          <w:rFonts w:cstheme="minorHAnsi"/>
        </w:rPr>
        <w:t xml:space="preserve">u </w:t>
      </w:r>
      <w:r w:rsidRPr="00C80B75">
        <w:rPr>
          <w:rFonts w:cstheme="minorHAnsi"/>
          <w:bCs/>
        </w:rPr>
        <w:t>Strategij</w:t>
      </w:r>
      <w:r w:rsidR="005B5D10">
        <w:rPr>
          <w:rFonts w:cstheme="minorHAnsi"/>
          <w:bCs/>
        </w:rPr>
        <w:t>e</w:t>
      </w:r>
      <w:r w:rsidRPr="00C80B75">
        <w:rPr>
          <w:rFonts w:cstheme="minorHAnsi"/>
          <w:bCs/>
        </w:rPr>
        <w:t>, Poglavlj</w:t>
      </w:r>
      <w:r w:rsidR="00645DA1">
        <w:rPr>
          <w:rFonts w:cstheme="minorHAnsi"/>
          <w:bCs/>
        </w:rPr>
        <w:t xml:space="preserve">e </w:t>
      </w:r>
      <w:r w:rsidRPr="00C80B75">
        <w:rPr>
          <w:rFonts w:cstheme="minorHAnsi"/>
          <w:bCs/>
        </w:rPr>
        <w:t xml:space="preserve"> 3. </w:t>
      </w:r>
      <w:r w:rsidRPr="00C80B75">
        <w:rPr>
          <w:rFonts w:cstheme="minorHAnsi"/>
          <w:bCs/>
          <w:i/>
        </w:rPr>
        <w:t>(SWOT analiza hrvatskog biogospodarstva)</w:t>
      </w:r>
      <w:r w:rsidRPr="00C80B75">
        <w:rPr>
          <w:rFonts w:cstheme="minorHAnsi"/>
          <w:bCs/>
        </w:rPr>
        <w:t xml:space="preserve"> i Poglavlje 4. (Razvojne potrebe hrvatskog biogospodarstva u RH)</w:t>
      </w:r>
      <w:r w:rsidR="00174C14">
        <w:rPr>
          <w:rFonts w:cstheme="minorHAnsi"/>
          <w:bCs/>
        </w:rPr>
        <w:t>,</w:t>
      </w:r>
      <w:r w:rsidRPr="00C80B75">
        <w:rPr>
          <w:rFonts w:cstheme="minorHAnsi"/>
          <w:bCs/>
        </w:rPr>
        <w:t xml:space="preserve"> s obzirom da su temeljem tih nalaza i argumentiranih ocjena formulirani </w:t>
      </w:r>
      <w:r w:rsidRPr="0042150B">
        <w:rPr>
          <w:rFonts w:cstheme="minorHAnsi"/>
          <w:bCs/>
        </w:rPr>
        <w:t>strateški ciljevi usmjereni rješavanju potreba u sektoru biogospodarstva u Poglavlju 5</w:t>
      </w:r>
      <w:r w:rsidRPr="0042150B">
        <w:rPr>
          <w:rFonts w:cstheme="minorHAnsi"/>
          <w:bCs/>
          <w:i/>
        </w:rPr>
        <w:t xml:space="preserve">.  </w:t>
      </w:r>
    </w:p>
    <w:p w14:paraId="71FDCB10" w14:textId="78C2FDC7" w:rsidR="00B33555" w:rsidRPr="0042150B" w:rsidRDefault="00B33555" w:rsidP="00B33555">
      <w:pPr>
        <w:spacing w:after="200" w:line="276" w:lineRule="auto"/>
        <w:jc w:val="both"/>
        <w:rPr>
          <w:rFonts w:cstheme="minorHAnsi"/>
          <w:bCs/>
        </w:rPr>
      </w:pPr>
      <w:r w:rsidRPr="0042150B">
        <w:rPr>
          <w:rFonts w:cstheme="minorHAnsi"/>
          <w:bCs/>
        </w:rPr>
        <w:t xml:space="preserve">Izrađivaču su sugerirane samo manje promjene kada je riječ o strateškom okviru i rješavanju razvojnih potreba u sektoru pomoću predloženih strateških ciljeva i provedbenih mehanizama. Strateški ciljevi i provedbeni mehanizmi su dobro formulirani, odgovaraju poželjnoj „hijerarhijskoj razini“, tj. vidljivo je da će se iz formuliranih strateških ciljeva moći utvrditi ciljevi nižeg ranga kao i mjere i aktivnosti u okviru predstojećeg Plana. Ujedno, </w:t>
      </w:r>
      <w:r w:rsidR="00174C14">
        <w:rPr>
          <w:rFonts w:cstheme="minorHAnsi"/>
          <w:bCs/>
        </w:rPr>
        <w:t xml:space="preserve">riječ je </w:t>
      </w:r>
      <w:r w:rsidRPr="0042150B">
        <w:rPr>
          <w:rFonts w:cstheme="minorHAnsi"/>
          <w:bCs/>
        </w:rPr>
        <w:t xml:space="preserve">o umjerenom </w:t>
      </w:r>
      <w:r w:rsidRPr="007B0BCF">
        <w:rPr>
          <w:rFonts w:cstheme="minorHAnsi"/>
          <w:bCs/>
        </w:rPr>
        <w:t>broju strateških ciljeva</w:t>
      </w:r>
      <w:r w:rsidR="00174C14">
        <w:rPr>
          <w:rFonts w:cstheme="minorHAnsi"/>
          <w:bCs/>
        </w:rPr>
        <w:t>, što je</w:t>
      </w:r>
      <w:r w:rsidRPr="007B0BCF">
        <w:rPr>
          <w:rFonts w:cstheme="minorHAnsi"/>
          <w:bCs/>
        </w:rPr>
        <w:t xml:space="preserve"> u skladu s načelom koncentracije, tj. usredotočenosti na ključne potrebe</w:t>
      </w:r>
      <w:r w:rsidR="00936556" w:rsidRPr="007B0BCF">
        <w:rPr>
          <w:rFonts w:cstheme="minorHAnsi"/>
          <w:bCs/>
        </w:rPr>
        <w:t>, posebice obzirom da se Strategija razvoja biogospodarstva priprema po prvi put u Republici Hrvatskoj</w:t>
      </w:r>
      <w:r w:rsidR="00174C14">
        <w:rPr>
          <w:rFonts w:cstheme="minorHAnsi"/>
          <w:bCs/>
        </w:rPr>
        <w:t>,</w:t>
      </w:r>
      <w:r w:rsidR="00936556" w:rsidRPr="007B0BCF">
        <w:rPr>
          <w:rFonts w:cstheme="minorHAnsi"/>
          <w:bCs/>
        </w:rPr>
        <w:t xml:space="preserve"> te bi previše strateških ciljeva bilo u suprotnosti s ključnom potrebom uspostavljanja jedinstvenog sustava za razvoj biogospodarstva. </w:t>
      </w:r>
      <w:r w:rsidRPr="007B0BCF">
        <w:rPr>
          <w:rFonts w:cstheme="minorHAnsi"/>
          <w:bCs/>
        </w:rPr>
        <w:t xml:space="preserve"> Sugerirano je da se kod strateškog dijela </w:t>
      </w:r>
      <w:r w:rsidR="006C5598">
        <w:rPr>
          <w:rFonts w:cstheme="minorHAnsi"/>
          <w:bCs/>
        </w:rPr>
        <w:t>uvrsti</w:t>
      </w:r>
      <w:r w:rsidRPr="007B0BCF">
        <w:rPr>
          <w:rFonts w:cstheme="minorHAnsi"/>
          <w:bCs/>
        </w:rPr>
        <w:t xml:space="preserve"> i institucionalni okvir te prikaže nužnost višesektorske povezanosti s obzirom da je problematika daljnjeg razvoja biogospodarstva izuzetno vezana i za djelokrug rada Ministarstva znanosti i obrazovanja kao i Ministarstva</w:t>
      </w:r>
      <w:r w:rsidRPr="0042150B">
        <w:rPr>
          <w:rFonts w:cstheme="minorHAnsi"/>
          <w:bCs/>
        </w:rPr>
        <w:t xml:space="preserve"> gospodarstva. Riječ je o multisektorskom, integriranom pristupu razvoju temeljem kojeg se postiže sinergija poduzetih intervencija ukoliko se one provode temeljem intersektorske, tj. međuresor</w:t>
      </w:r>
      <w:r w:rsidR="005617E7">
        <w:rPr>
          <w:rFonts w:cstheme="minorHAnsi"/>
          <w:bCs/>
        </w:rPr>
        <w:t>ne</w:t>
      </w:r>
      <w:r w:rsidRPr="0042150B">
        <w:rPr>
          <w:rFonts w:cstheme="minorHAnsi"/>
          <w:bCs/>
        </w:rPr>
        <w:t xml:space="preserve"> suradnje</w:t>
      </w:r>
      <w:r w:rsidR="006C5598">
        <w:rPr>
          <w:rFonts w:cstheme="minorHAnsi"/>
          <w:bCs/>
        </w:rPr>
        <w:t>,</w:t>
      </w:r>
      <w:r w:rsidRPr="0042150B">
        <w:rPr>
          <w:rFonts w:cstheme="minorHAnsi"/>
          <w:bCs/>
        </w:rPr>
        <w:t xml:space="preserve"> a što će doći do izražaja prilikom provedbe strateških projekata te u predstojećem Planu razvoja biogospodarstva prilikom provedbe mjera i aktivnosti. </w:t>
      </w:r>
    </w:p>
    <w:p w14:paraId="30640E3D" w14:textId="72E3BAF2" w:rsidR="00B33555" w:rsidRPr="00936556" w:rsidRDefault="00B33555" w:rsidP="00B33555">
      <w:pPr>
        <w:spacing w:after="0" w:line="276" w:lineRule="auto"/>
        <w:jc w:val="both"/>
        <w:rPr>
          <w:color w:val="FF0000"/>
          <w:lang w:eastAsia="hr-HR"/>
        </w:rPr>
      </w:pPr>
      <w:r w:rsidRPr="0042150B">
        <w:rPr>
          <w:rFonts w:cstheme="minorHAnsi"/>
          <w:bCs/>
        </w:rPr>
        <w:t>Na</w:t>
      </w:r>
      <w:r w:rsidR="009C0B76">
        <w:rPr>
          <w:rFonts w:cstheme="minorHAnsi"/>
          <w:bCs/>
        </w:rPr>
        <w:t>dalje</w:t>
      </w:r>
      <w:r w:rsidR="00936556">
        <w:rPr>
          <w:rFonts w:cstheme="minorHAnsi"/>
          <w:bCs/>
        </w:rPr>
        <w:t xml:space="preserve">, </w:t>
      </w:r>
      <w:r w:rsidRPr="0042150B">
        <w:rPr>
          <w:rFonts w:cstheme="minorHAnsi"/>
          <w:bCs/>
        </w:rPr>
        <w:t xml:space="preserve"> kad je riječ o strateškom okviru, tim za vrednovanje je naglasio da nedostaje poglavlje vezano uz strateške projekte te je </w:t>
      </w:r>
      <w:r w:rsidR="00922E75">
        <w:rPr>
          <w:rFonts w:cstheme="minorHAnsi"/>
          <w:bCs/>
        </w:rPr>
        <w:t xml:space="preserve">Izrađivaču </w:t>
      </w:r>
      <w:r w:rsidRPr="0042150B">
        <w:rPr>
          <w:rFonts w:eastAsia="Times New Roman" w:cstheme="minorHAnsi"/>
          <w:lang w:eastAsia="hr-HR"/>
        </w:rPr>
        <w:t>sugerirano da prijedlo</w:t>
      </w:r>
      <w:r w:rsidR="00922E75">
        <w:rPr>
          <w:rFonts w:eastAsia="Times New Roman" w:cstheme="minorHAnsi"/>
          <w:lang w:eastAsia="hr-HR"/>
        </w:rPr>
        <w:t>ge</w:t>
      </w:r>
      <w:r w:rsidRPr="0042150B">
        <w:rPr>
          <w:rFonts w:eastAsia="Times New Roman" w:cstheme="minorHAnsi"/>
          <w:lang w:eastAsia="hr-HR"/>
        </w:rPr>
        <w:t xml:space="preserve">  strateških projekata (možda i ne svih) </w:t>
      </w:r>
      <w:r w:rsidR="00922E75">
        <w:rPr>
          <w:rFonts w:eastAsia="Times New Roman" w:cstheme="minorHAnsi"/>
          <w:lang w:eastAsia="hr-HR"/>
        </w:rPr>
        <w:t xml:space="preserve">prebaci </w:t>
      </w:r>
      <w:r w:rsidRPr="0042150B">
        <w:rPr>
          <w:rFonts w:eastAsia="Times New Roman" w:cstheme="minorHAnsi"/>
          <w:lang w:eastAsia="hr-HR"/>
        </w:rPr>
        <w:t>iz priloga u poglavlje u dokumentu Strategije</w:t>
      </w:r>
      <w:r w:rsidR="00922E75">
        <w:rPr>
          <w:rFonts w:eastAsia="Times New Roman" w:cstheme="minorHAnsi"/>
          <w:lang w:eastAsia="hr-HR"/>
        </w:rPr>
        <w:t>,</w:t>
      </w:r>
      <w:r w:rsidRPr="0042150B">
        <w:rPr>
          <w:rFonts w:eastAsia="Times New Roman" w:cstheme="minorHAnsi"/>
          <w:lang w:eastAsia="hr-HR"/>
        </w:rPr>
        <w:t xml:space="preserve"> te da ih tablično opiše</w:t>
      </w:r>
      <w:r w:rsidR="00922E75">
        <w:rPr>
          <w:rFonts w:eastAsia="Times New Roman" w:cstheme="minorHAnsi"/>
          <w:lang w:eastAsia="hr-HR"/>
        </w:rPr>
        <w:t xml:space="preserve">, pridružujući im </w:t>
      </w:r>
      <w:r w:rsidRPr="0042150B">
        <w:rPr>
          <w:rFonts w:eastAsia="Times New Roman" w:cstheme="minorHAnsi"/>
          <w:lang w:eastAsia="hr-HR"/>
        </w:rPr>
        <w:t>jas</w:t>
      </w:r>
      <w:r w:rsidR="00922E75">
        <w:rPr>
          <w:rFonts w:eastAsia="Times New Roman" w:cstheme="minorHAnsi"/>
          <w:lang w:eastAsia="hr-HR"/>
        </w:rPr>
        <w:t>ne</w:t>
      </w:r>
      <w:r w:rsidRPr="0042150B">
        <w:rPr>
          <w:rFonts w:eastAsia="Times New Roman" w:cstheme="minorHAnsi"/>
          <w:lang w:eastAsia="hr-HR"/>
        </w:rPr>
        <w:t xml:space="preserve"> izvor</w:t>
      </w:r>
      <w:r w:rsidR="00922E75">
        <w:rPr>
          <w:rFonts w:eastAsia="Times New Roman" w:cstheme="minorHAnsi"/>
          <w:lang w:eastAsia="hr-HR"/>
        </w:rPr>
        <w:t>e</w:t>
      </w:r>
      <w:r w:rsidRPr="0042150B">
        <w:rPr>
          <w:rFonts w:eastAsia="Times New Roman" w:cstheme="minorHAnsi"/>
          <w:lang w:eastAsia="hr-HR"/>
        </w:rPr>
        <w:t xml:space="preserve"> financiranja i terminski plan. Tijekom vrednovanja daljnje verzije Nacrta Strategija</w:t>
      </w:r>
      <w:r w:rsidR="00BE00BB">
        <w:rPr>
          <w:rFonts w:eastAsia="Times New Roman" w:cstheme="minorHAnsi"/>
          <w:lang w:eastAsia="hr-HR"/>
        </w:rPr>
        <w:t xml:space="preserve"> </w:t>
      </w:r>
      <w:r w:rsidR="006E594B">
        <w:rPr>
          <w:rFonts w:eastAsia="Times New Roman" w:cstheme="minorHAnsi"/>
          <w:lang w:eastAsia="hr-HR"/>
        </w:rPr>
        <w:t xml:space="preserve">predloženo je </w:t>
      </w:r>
      <w:r w:rsidRPr="0042150B">
        <w:rPr>
          <w:rFonts w:eastAsia="Times New Roman" w:cstheme="minorHAnsi"/>
          <w:lang w:eastAsia="hr-HR"/>
        </w:rPr>
        <w:t xml:space="preserve">da </w:t>
      </w:r>
      <w:r w:rsidR="006E594B">
        <w:rPr>
          <w:rFonts w:eastAsia="Times New Roman" w:cstheme="minorHAnsi"/>
          <w:lang w:eastAsia="hr-HR"/>
        </w:rPr>
        <w:t>se</w:t>
      </w:r>
      <w:r w:rsidRPr="0042150B">
        <w:rPr>
          <w:rFonts w:eastAsia="Times New Roman" w:cstheme="minorHAnsi"/>
          <w:lang w:eastAsia="hr-HR"/>
        </w:rPr>
        <w:t xml:space="preserve"> doradi i nadopuni ovaj prilog</w:t>
      </w:r>
      <w:r w:rsidR="00922E75">
        <w:rPr>
          <w:rFonts w:eastAsia="Times New Roman" w:cstheme="minorHAnsi"/>
          <w:lang w:eastAsia="hr-HR"/>
        </w:rPr>
        <w:t>,</w:t>
      </w:r>
      <w:r w:rsidRPr="0042150B">
        <w:rPr>
          <w:rFonts w:eastAsia="Times New Roman" w:cstheme="minorHAnsi"/>
          <w:lang w:eastAsia="hr-HR"/>
        </w:rPr>
        <w:t xml:space="preserve"> te razmisli da se možda dodaju projekti mapiranja resursa i proizvoda u biogospodarstvu </w:t>
      </w:r>
      <w:r w:rsidR="003120EA">
        <w:rPr>
          <w:rFonts w:eastAsia="Times New Roman" w:cstheme="minorHAnsi"/>
          <w:lang w:eastAsia="hr-HR"/>
        </w:rPr>
        <w:t xml:space="preserve">kao i </w:t>
      </w:r>
      <w:r w:rsidRPr="007B0BCF">
        <w:rPr>
          <w:rFonts w:eastAsia="Times New Roman" w:cstheme="minorHAnsi"/>
          <w:lang w:eastAsia="hr-HR"/>
        </w:rPr>
        <w:t xml:space="preserve">osnivanje koordinacijskog tijela </w:t>
      </w:r>
      <w:r w:rsidR="00936556" w:rsidRPr="007B0BCF">
        <w:rPr>
          <w:rFonts w:eastAsia="Times New Roman" w:cstheme="minorHAnsi"/>
          <w:lang w:eastAsia="hr-HR"/>
        </w:rPr>
        <w:t>za vođenje i praćenje</w:t>
      </w:r>
      <w:r w:rsidRPr="007B0BCF">
        <w:rPr>
          <w:rFonts w:eastAsia="Times New Roman" w:cstheme="minorHAnsi"/>
          <w:lang w:eastAsia="hr-HR"/>
        </w:rPr>
        <w:t xml:space="preserve"> aktivnosti provedbe Strategije. Redaktorskom intervencijom predložena je dorada opisa ciljeva kroz </w:t>
      </w:r>
      <w:r w:rsidR="00936556" w:rsidRPr="007B0BCF">
        <w:rPr>
          <w:rFonts w:eastAsia="Times New Roman" w:cstheme="minorHAnsi"/>
          <w:lang w:eastAsia="hr-HR"/>
        </w:rPr>
        <w:t>p</w:t>
      </w:r>
      <w:r w:rsidRPr="007B0BCF">
        <w:rPr>
          <w:rFonts w:eastAsia="Times New Roman" w:cstheme="minorHAnsi"/>
          <w:lang w:eastAsia="hr-HR"/>
        </w:rPr>
        <w:t>rioritet</w:t>
      </w:r>
      <w:r w:rsidR="00936556" w:rsidRPr="007B0BCF">
        <w:rPr>
          <w:rFonts w:eastAsia="Times New Roman" w:cstheme="minorHAnsi"/>
          <w:lang w:eastAsia="hr-HR"/>
        </w:rPr>
        <w:t xml:space="preserve">na područja intervencije </w:t>
      </w:r>
      <w:r w:rsidRPr="007B0BCF">
        <w:rPr>
          <w:rFonts w:eastAsia="Times New Roman" w:cstheme="minorHAnsi"/>
          <w:lang w:eastAsia="hr-HR"/>
        </w:rPr>
        <w:t>koj</w:t>
      </w:r>
      <w:r w:rsidR="00936556" w:rsidRPr="007B0BCF">
        <w:rPr>
          <w:rFonts w:eastAsia="Times New Roman" w:cstheme="minorHAnsi"/>
          <w:lang w:eastAsia="hr-HR"/>
        </w:rPr>
        <w:t xml:space="preserve">a </w:t>
      </w:r>
      <w:r w:rsidRPr="007B0BCF">
        <w:rPr>
          <w:rFonts w:eastAsia="Times New Roman" w:cstheme="minorHAnsi"/>
          <w:lang w:eastAsia="hr-HR"/>
        </w:rPr>
        <w:t>su usklađen</w:t>
      </w:r>
      <w:r w:rsidR="00936556" w:rsidRPr="007B0BCF">
        <w:rPr>
          <w:rFonts w:eastAsia="Times New Roman" w:cstheme="minorHAnsi"/>
          <w:lang w:eastAsia="hr-HR"/>
        </w:rPr>
        <w:t>a</w:t>
      </w:r>
      <w:r w:rsidRPr="007B0BCF">
        <w:rPr>
          <w:rFonts w:eastAsia="Times New Roman" w:cstheme="minorHAnsi"/>
          <w:lang w:eastAsia="hr-HR"/>
        </w:rPr>
        <w:t xml:space="preserve"> s </w:t>
      </w:r>
      <w:r w:rsidR="00936556" w:rsidRPr="007B0BCF">
        <w:rPr>
          <w:rFonts w:eastAsia="Times New Roman" w:cstheme="minorHAnsi"/>
          <w:lang w:eastAsia="hr-HR"/>
        </w:rPr>
        <w:t xml:space="preserve">identificiranim </w:t>
      </w:r>
      <w:r w:rsidRPr="007B0BCF">
        <w:rPr>
          <w:rFonts w:eastAsia="Times New Roman" w:cstheme="minorHAnsi"/>
          <w:lang w:eastAsia="hr-HR"/>
        </w:rPr>
        <w:t>potrebama</w:t>
      </w:r>
      <w:r w:rsidR="00936556" w:rsidRPr="007B0BCF">
        <w:rPr>
          <w:rFonts w:eastAsia="Times New Roman" w:cstheme="minorHAnsi"/>
          <w:lang w:eastAsia="hr-HR"/>
        </w:rPr>
        <w:t>.</w:t>
      </w:r>
      <w:r w:rsidR="00936556">
        <w:rPr>
          <w:rFonts w:eastAsia="Times New Roman" w:cstheme="minorHAnsi"/>
          <w:lang w:eastAsia="hr-HR"/>
        </w:rPr>
        <w:t xml:space="preserve"> </w:t>
      </w:r>
    </w:p>
    <w:p w14:paraId="09830385" w14:textId="77777777" w:rsidR="00B33555" w:rsidRPr="0042150B" w:rsidRDefault="00B33555" w:rsidP="00B33555">
      <w:pPr>
        <w:spacing w:after="0" w:line="276" w:lineRule="auto"/>
        <w:jc w:val="both"/>
        <w:rPr>
          <w:rFonts w:cstheme="minorHAnsi"/>
          <w:bCs/>
        </w:rPr>
      </w:pPr>
    </w:p>
    <w:p w14:paraId="022AB221" w14:textId="3ADE6D42" w:rsidR="00B33555" w:rsidRPr="0042150B" w:rsidRDefault="00B33555" w:rsidP="00B33555">
      <w:pPr>
        <w:spacing w:after="200" w:line="276" w:lineRule="auto"/>
        <w:jc w:val="both"/>
        <w:rPr>
          <w:color w:val="FF0000"/>
        </w:rPr>
      </w:pPr>
      <w:r w:rsidRPr="0042150B">
        <w:rPr>
          <w:rFonts w:cstheme="minorHAnsi"/>
          <w:bCs/>
        </w:rPr>
        <w:t>Primjenom kriterija učinkovitosti ujedno se razmatra i  k</w:t>
      </w:r>
      <w:r w:rsidRPr="0042150B">
        <w:rPr>
          <w:rFonts w:cstheme="minorHAnsi"/>
        </w:rPr>
        <w:t xml:space="preserve">olika je vjerojatnost da će se postavljeni </w:t>
      </w:r>
      <w:r w:rsidR="00936556">
        <w:rPr>
          <w:rFonts w:cstheme="minorHAnsi"/>
        </w:rPr>
        <w:t xml:space="preserve">strateški </w:t>
      </w:r>
      <w:r w:rsidRPr="0042150B">
        <w:rPr>
          <w:rFonts w:cstheme="minorHAnsi"/>
        </w:rPr>
        <w:t xml:space="preserve">ciljevi ostvariti planiranim provedbenim mehanizmima i raspoloživim resursima te provedbenim </w:t>
      </w:r>
      <w:r w:rsidRPr="0042150B">
        <w:rPr>
          <w:rFonts w:cstheme="minorHAnsi"/>
        </w:rPr>
        <w:lastRenderedPageBreak/>
        <w:t>kapacitetima</w:t>
      </w:r>
      <w:r w:rsidR="00936556">
        <w:rPr>
          <w:rFonts w:cstheme="minorHAnsi"/>
        </w:rPr>
        <w:t>,</w:t>
      </w:r>
      <w:r w:rsidRPr="0042150B">
        <w:rPr>
          <w:rFonts w:cstheme="minorHAnsi"/>
        </w:rPr>
        <w:t xml:space="preserve"> a što se dijelom razmatra i primjenom kriterija djelotvornosti u okviru posljednjeg evaluacijskog pitanja. Razina ove vjerojatnosti moći će se sagledati preciznije tek tijekom provedbe Strategije i to će to biti jedan od ključnih kriterija prilikom praćenja i vrednovanja</w:t>
      </w:r>
      <w:r w:rsidRPr="0042150B">
        <w:t xml:space="preserve">  ovog akta strateškog planiranja usred razdoblja njegove provedbe.  </w:t>
      </w:r>
      <w:r w:rsidR="00922E75">
        <w:t>Z</w:t>
      </w:r>
      <w:r w:rsidRPr="0042150B">
        <w:t>aključ</w:t>
      </w:r>
      <w:r w:rsidR="00922E75">
        <w:t xml:space="preserve">ak </w:t>
      </w:r>
      <w:r w:rsidR="006E594B">
        <w:t>tima za vrednovanje</w:t>
      </w:r>
      <w:r w:rsidR="00922E75">
        <w:t xml:space="preserve"> je </w:t>
      </w:r>
      <w:r w:rsidRPr="0042150B">
        <w:t xml:space="preserve">je realno za očekivati da će tri utvrđena strateška cilja </w:t>
      </w:r>
      <w:r w:rsidR="00922E75" w:rsidRPr="00922E75">
        <w:t xml:space="preserve">biti moguće realizirati </w:t>
      </w:r>
      <w:r w:rsidRPr="0042150B">
        <w:t xml:space="preserve">temeljem osam predloženih provedbenih mehanizama. </w:t>
      </w:r>
    </w:p>
    <w:p w14:paraId="3B0040EE" w14:textId="44BCBC55" w:rsidR="00B33555" w:rsidRPr="0042150B" w:rsidRDefault="00B33555" w:rsidP="00B33555">
      <w:pPr>
        <w:spacing w:after="200" w:line="276" w:lineRule="auto"/>
        <w:jc w:val="both"/>
        <w:rPr>
          <w:rFonts w:cstheme="minorHAnsi"/>
        </w:rPr>
      </w:pPr>
      <w:r w:rsidRPr="0042150B">
        <w:rPr>
          <w:rFonts w:cstheme="minorHAnsi"/>
        </w:rPr>
        <w:t>Tijekom realizacije postupka vrednovanja korisna je i primjena pomoćnog kriterija vrednovanja – komplementarnosti, kojeg je moguće razmatrati upravo u okviru kriterija učinkovitosti s obzirom da komplementarni ciljevi i provedbeni mehanizmi imaju međusobno osnažujući efekt koji dodatno osnažuje pozitivne utjecaje primjene spomenutog integriranog/multisektorskog pristupa</w:t>
      </w:r>
      <w:r w:rsidR="00257995">
        <w:rPr>
          <w:rFonts w:cstheme="minorHAnsi"/>
        </w:rPr>
        <w:t xml:space="preserve">, </w:t>
      </w:r>
      <w:r w:rsidRPr="0042150B">
        <w:rPr>
          <w:rFonts w:cstheme="minorHAnsi"/>
        </w:rPr>
        <w:t>a koji je u</w:t>
      </w:r>
      <w:r w:rsidR="005B5D10">
        <w:rPr>
          <w:rFonts w:cstheme="minorHAnsi"/>
        </w:rPr>
        <w:t xml:space="preserve"> </w:t>
      </w:r>
      <w:r w:rsidR="005B5D10" w:rsidRPr="00B87D94">
        <w:rPr>
          <w:rFonts w:cstheme="minorHAnsi"/>
        </w:rPr>
        <w:t>Nacrt</w:t>
      </w:r>
      <w:r w:rsidR="005B5D10">
        <w:rPr>
          <w:rFonts w:cstheme="minorHAnsi"/>
        </w:rPr>
        <w:t>u</w:t>
      </w:r>
      <w:r w:rsidRPr="0042150B">
        <w:rPr>
          <w:rFonts w:cstheme="minorHAnsi"/>
        </w:rPr>
        <w:t xml:space="preserve"> Strategij</w:t>
      </w:r>
      <w:r w:rsidR="005B5D10">
        <w:rPr>
          <w:rFonts w:cstheme="minorHAnsi"/>
        </w:rPr>
        <w:t>e</w:t>
      </w:r>
      <w:r w:rsidRPr="0042150B">
        <w:rPr>
          <w:rFonts w:cstheme="minorHAnsi"/>
        </w:rPr>
        <w:t xml:space="preserve"> i istaknut. Kada je  komplementarnost ciljeva i provedbenih mehanizama vidljiva, tj. kada je prisutan njihov podržavajući utjecaj, sinergijski efekt njihove provedbe </w:t>
      </w:r>
      <w:r w:rsidR="00922E75">
        <w:rPr>
          <w:rFonts w:cstheme="minorHAnsi"/>
        </w:rPr>
        <w:t xml:space="preserve">je </w:t>
      </w:r>
      <w:r w:rsidRPr="0042150B">
        <w:rPr>
          <w:rFonts w:cstheme="minorHAnsi"/>
        </w:rPr>
        <w:t>bitno izraženiji</w:t>
      </w:r>
      <w:r w:rsidR="00922E75">
        <w:rPr>
          <w:rFonts w:cstheme="minorHAnsi"/>
        </w:rPr>
        <w:t>,</w:t>
      </w:r>
      <w:r w:rsidRPr="0042150B">
        <w:rPr>
          <w:rFonts w:cstheme="minorHAnsi"/>
        </w:rPr>
        <w:t xml:space="preserve"> te su, posljedično, veći učinci njihove realizacije, što ujedno osnažuje učinkovitost/efektivnost prilikom </w:t>
      </w:r>
      <w:r w:rsidRPr="007B0BCF">
        <w:rPr>
          <w:rFonts w:cstheme="minorHAnsi"/>
        </w:rPr>
        <w:t>provedbe Strategije</w:t>
      </w:r>
      <w:r w:rsidR="003120EA">
        <w:rPr>
          <w:rFonts w:cstheme="minorHAnsi"/>
        </w:rPr>
        <w:t xml:space="preserve"> i u cjelini </w:t>
      </w:r>
      <w:r w:rsidRPr="007B0BCF">
        <w:rPr>
          <w:rFonts w:cstheme="minorHAnsi"/>
        </w:rPr>
        <w:t xml:space="preserve"> ostvarenje relevantnih  i održivih rezultata. Postupkom vrednovanja je utvrđeno da su </w:t>
      </w:r>
      <w:r w:rsidR="00257995" w:rsidRPr="007B0BCF">
        <w:rPr>
          <w:rFonts w:cstheme="minorHAnsi"/>
        </w:rPr>
        <w:t xml:space="preserve">strateški </w:t>
      </w:r>
      <w:r w:rsidRPr="007B0BCF">
        <w:rPr>
          <w:rFonts w:cstheme="minorHAnsi"/>
        </w:rPr>
        <w:t>ciljevi i provedbeni mehanizmi definirani na način da je vidljiva njihova komplementarnost, tj. međusobna povezanost</w:t>
      </w:r>
      <w:r w:rsidR="00257995" w:rsidRPr="007B0BCF">
        <w:rPr>
          <w:rFonts w:cstheme="minorHAnsi"/>
        </w:rPr>
        <w:t xml:space="preserve">, </w:t>
      </w:r>
      <w:r w:rsidRPr="007B0BCF">
        <w:rPr>
          <w:rFonts w:cstheme="minorHAnsi"/>
        </w:rPr>
        <w:t>a koja će pridonijeti njihovoj učinkovitijoj i djelotvornijoj realizaciji, tj. uspješnijoj provedbi Strategije.</w:t>
      </w:r>
      <w:r w:rsidRPr="0042150B">
        <w:rPr>
          <w:rFonts w:cstheme="minorHAnsi"/>
        </w:rPr>
        <w:t xml:space="preserve"> </w:t>
      </w:r>
    </w:p>
    <w:p w14:paraId="4903ECC2" w14:textId="575324C1" w:rsidR="005F29CA" w:rsidRPr="0047683B" w:rsidRDefault="00B33555" w:rsidP="00B33555">
      <w:pPr>
        <w:spacing w:after="0" w:line="276" w:lineRule="auto"/>
        <w:jc w:val="both"/>
        <w:rPr>
          <w:rFonts w:eastAsia="Times New Roman" w:cstheme="minorHAnsi"/>
          <w:lang w:eastAsia="hr-HR"/>
        </w:rPr>
      </w:pPr>
      <w:r w:rsidRPr="0042150B">
        <w:rPr>
          <w:rFonts w:eastAsia="Times New Roman" w:cstheme="minorHAnsi"/>
          <w:lang w:eastAsia="hr-HR"/>
        </w:rPr>
        <w:t>Prilikom razmatranja kriterija učinkovitosti potrebno je razmotriti i prikladnost pokazatelja provedbe definiranih ciljeva Strategije.</w:t>
      </w:r>
      <w:r w:rsidRPr="0042150B">
        <w:rPr>
          <w:rFonts w:cstheme="minorHAnsi"/>
          <w:bCs/>
          <w:sz w:val="20"/>
          <w:szCs w:val="20"/>
        </w:rPr>
        <w:t xml:space="preserve"> </w:t>
      </w:r>
      <w:r w:rsidRPr="0042150B">
        <w:rPr>
          <w:rFonts w:eastAsia="Times New Roman" w:cstheme="minorHAnsi"/>
          <w:lang w:eastAsia="hr-HR"/>
        </w:rPr>
        <w:t xml:space="preserve">Ključni prijedlog tima za vrednovanja bio </w:t>
      </w:r>
      <w:r w:rsidRPr="0047683B">
        <w:rPr>
          <w:rFonts w:eastAsia="Times New Roman" w:cstheme="minorHAnsi"/>
          <w:lang w:eastAsia="hr-HR"/>
        </w:rPr>
        <w:t>je da se predloženi pokazatelji učinka ponovo promisle, tj. da se preuzme zadnja verzija biblioteke pokazatelja MRRFEU te</w:t>
      </w:r>
      <w:r w:rsidR="008F62C8" w:rsidRPr="0047683B">
        <w:rPr>
          <w:rFonts w:eastAsia="Times New Roman" w:cstheme="minorHAnsi"/>
          <w:lang w:eastAsia="hr-HR"/>
        </w:rPr>
        <w:t>,</w:t>
      </w:r>
      <w:r w:rsidRPr="0047683B">
        <w:rPr>
          <w:rFonts w:eastAsia="Times New Roman" w:cstheme="minorHAnsi"/>
          <w:lang w:eastAsia="hr-HR"/>
        </w:rPr>
        <w:t xml:space="preserve"> ukoliko</w:t>
      </w:r>
      <w:r w:rsidR="008F62C8" w:rsidRPr="0047683B">
        <w:rPr>
          <w:rFonts w:eastAsia="Times New Roman" w:cstheme="minorHAnsi"/>
          <w:lang w:eastAsia="hr-HR"/>
        </w:rPr>
        <w:t xml:space="preserve"> je</w:t>
      </w:r>
      <w:r w:rsidRPr="0047683B">
        <w:rPr>
          <w:rFonts w:eastAsia="Times New Roman" w:cstheme="minorHAnsi"/>
          <w:lang w:eastAsia="hr-HR"/>
        </w:rPr>
        <w:t xml:space="preserve"> potrebno</w:t>
      </w:r>
      <w:r w:rsidR="008F62C8" w:rsidRPr="0047683B">
        <w:rPr>
          <w:rFonts w:eastAsia="Times New Roman" w:cstheme="minorHAnsi"/>
          <w:lang w:eastAsia="hr-HR"/>
        </w:rPr>
        <w:t>,</w:t>
      </w:r>
      <w:r w:rsidRPr="0047683B">
        <w:rPr>
          <w:rFonts w:eastAsia="Times New Roman" w:cstheme="minorHAnsi"/>
          <w:lang w:eastAsia="hr-HR"/>
        </w:rPr>
        <w:t xml:space="preserve"> da se predlože novi pokazatelji temeljem sustava pokazatelja u EU.</w:t>
      </w:r>
      <w:r w:rsidR="00257995" w:rsidRPr="0047683B">
        <w:rPr>
          <w:rFonts w:eastAsia="Times New Roman" w:cstheme="minorHAnsi"/>
          <w:lang w:eastAsia="hr-HR"/>
        </w:rPr>
        <w:t xml:space="preserve"> Predstavnici izrađivača su uspostavili pisanu komunikaciju s DZS</w:t>
      </w:r>
      <w:r w:rsidR="00922E75" w:rsidRPr="0047683B">
        <w:rPr>
          <w:rFonts w:eastAsia="Times New Roman" w:cstheme="minorHAnsi"/>
          <w:lang w:eastAsia="hr-HR"/>
        </w:rPr>
        <w:t>-om,</w:t>
      </w:r>
      <w:r w:rsidR="00457CAC" w:rsidRPr="0047683B">
        <w:rPr>
          <w:rFonts w:eastAsia="Times New Roman" w:cstheme="minorHAnsi"/>
          <w:lang w:eastAsia="hr-HR"/>
        </w:rPr>
        <w:t xml:space="preserve"> i </w:t>
      </w:r>
      <w:r w:rsidR="007B0BCF" w:rsidRPr="0047683B">
        <w:rPr>
          <w:rFonts w:eastAsia="Times New Roman" w:cstheme="minorHAnsi"/>
          <w:lang w:eastAsia="hr-HR"/>
        </w:rPr>
        <w:t xml:space="preserve">s </w:t>
      </w:r>
      <w:r w:rsidR="00457CAC" w:rsidRPr="0047683B">
        <w:rPr>
          <w:rFonts w:eastAsia="Times New Roman" w:cstheme="minorHAnsi"/>
          <w:lang w:eastAsia="hr-HR"/>
        </w:rPr>
        <w:t>obzirom da s</w:t>
      </w:r>
      <w:r w:rsidR="007B0BCF" w:rsidRPr="0047683B">
        <w:rPr>
          <w:rFonts w:eastAsia="Times New Roman" w:cstheme="minorHAnsi"/>
          <w:lang w:eastAsia="hr-HR"/>
        </w:rPr>
        <w:t>e</w:t>
      </w:r>
      <w:r w:rsidR="00457CAC" w:rsidRPr="0047683B">
        <w:rPr>
          <w:rFonts w:eastAsia="Times New Roman" w:cstheme="minorHAnsi"/>
          <w:lang w:eastAsia="hr-HR"/>
        </w:rPr>
        <w:t xml:space="preserve"> pokazatelji o biogospodarstvu navedeni u Biblioteci pokazatelja MRRFEU ne prate</w:t>
      </w:r>
      <w:r w:rsidR="007B0BCF" w:rsidRPr="0047683B">
        <w:rPr>
          <w:rFonts w:eastAsia="Times New Roman" w:cstheme="minorHAnsi"/>
          <w:lang w:eastAsia="hr-HR"/>
        </w:rPr>
        <w:t xml:space="preserve">, </w:t>
      </w:r>
      <w:r w:rsidR="00457CAC" w:rsidRPr="0047683B">
        <w:rPr>
          <w:rFonts w:eastAsia="Times New Roman" w:cstheme="minorHAnsi"/>
          <w:lang w:eastAsia="hr-HR"/>
        </w:rPr>
        <w:t xml:space="preserve">ponovno </w:t>
      </w:r>
      <w:r w:rsidR="007B0BCF" w:rsidRPr="0047683B">
        <w:rPr>
          <w:rFonts w:eastAsia="Times New Roman" w:cstheme="minorHAnsi"/>
          <w:lang w:eastAsia="hr-HR"/>
        </w:rPr>
        <w:t xml:space="preserve">su se </w:t>
      </w:r>
      <w:r w:rsidR="00457CAC" w:rsidRPr="0047683B">
        <w:rPr>
          <w:rFonts w:eastAsia="Times New Roman" w:cstheme="minorHAnsi"/>
          <w:lang w:eastAsia="hr-HR"/>
        </w:rPr>
        <w:t>odlučili za prvo</w:t>
      </w:r>
      <w:r w:rsidR="007B0BCF" w:rsidRPr="0047683B">
        <w:rPr>
          <w:rFonts w:eastAsia="Times New Roman" w:cstheme="minorHAnsi"/>
          <w:lang w:eastAsia="hr-HR"/>
        </w:rPr>
        <w:t>bitnu</w:t>
      </w:r>
      <w:r w:rsidR="00457CAC" w:rsidRPr="0047683B">
        <w:rPr>
          <w:rFonts w:eastAsia="Times New Roman" w:cstheme="minorHAnsi"/>
          <w:lang w:eastAsia="hr-HR"/>
        </w:rPr>
        <w:t xml:space="preserve"> verziju pokazatelja po strateškim ciljevima.  </w:t>
      </w:r>
      <w:r w:rsidR="00922E75" w:rsidRPr="0047683B">
        <w:rPr>
          <w:rFonts w:eastAsia="Times New Roman" w:cstheme="minorHAnsi"/>
          <w:lang w:eastAsia="hr-HR"/>
        </w:rPr>
        <w:t>Nadalje, p</w:t>
      </w:r>
      <w:r w:rsidR="00457CAC" w:rsidRPr="0047683B">
        <w:rPr>
          <w:rFonts w:eastAsia="Times New Roman" w:cstheme="minorHAnsi"/>
          <w:lang w:eastAsia="hr-HR"/>
        </w:rPr>
        <w:t xml:space="preserve">redložen je </w:t>
      </w:r>
      <w:r w:rsidR="005F29CA" w:rsidRPr="0047683B">
        <w:rPr>
          <w:rFonts w:eastAsia="Times New Roman" w:cstheme="minorHAnsi"/>
          <w:lang w:eastAsia="hr-HR"/>
        </w:rPr>
        <w:t xml:space="preserve"> </w:t>
      </w:r>
      <w:r w:rsidR="00257995" w:rsidRPr="0047683B">
        <w:rPr>
          <w:rFonts w:eastAsia="Times New Roman" w:cstheme="minorHAnsi"/>
          <w:lang w:eastAsia="hr-HR"/>
        </w:rPr>
        <w:t>nov</w:t>
      </w:r>
      <w:r w:rsidR="00457CAC" w:rsidRPr="0047683B">
        <w:rPr>
          <w:rFonts w:eastAsia="Times New Roman" w:cstheme="minorHAnsi"/>
          <w:lang w:eastAsia="hr-HR"/>
        </w:rPr>
        <w:t>i</w:t>
      </w:r>
      <w:r w:rsidR="00257995" w:rsidRPr="0047683B">
        <w:rPr>
          <w:rFonts w:eastAsia="Times New Roman" w:cstheme="minorHAnsi"/>
          <w:lang w:eastAsia="hr-HR"/>
        </w:rPr>
        <w:t xml:space="preserve"> pokazatelj učinka</w:t>
      </w:r>
      <w:r w:rsidR="00922E75" w:rsidRPr="0047683B">
        <w:rPr>
          <w:rFonts w:eastAsia="Times New Roman" w:cstheme="minorHAnsi"/>
          <w:lang w:eastAsia="hr-HR"/>
        </w:rPr>
        <w:t>,</w:t>
      </w:r>
      <w:r w:rsidR="00D37C41" w:rsidRPr="0047683B">
        <w:rPr>
          <w:rFonts w:eastAsia="Times New Roman" w:cstheme="minorHAnsi"/>
          <w:lang w:eastAsia="hr-HR"/>
        </w:rPr>
        <w:t xml:space="preserve"> </w:t>
      </w:r>
      <w:r w:rsidR="00D37C41" w:rsidRPr="0047683B">
        <w:rPr>
          <w:rFonts w:cstheme="minorHAnsi"/>
          <w:i/>
        </w:rPr>
        <w:t>Dodana vrijednost po zaposlenom u biogospodarstvu</w:t>
      </w:r>
      <w:r w:rsidR="00257995" w:rsidRPr="0047683B">
        <w:rPr>
          <w:rFonts w:eastAsia="Times New Roman" w:cstheme="minorHAnsi"/>
          <w:lang w:eastAsia="hr-HR"/>
        </w:rPr>
        <w:t xml:space="preserve"> </w:t>
      </w:r>
      <w:r w:rsidR="00922E75" w:rsidRPr="0047683B">
        <w:rPr>
          <w:rFonts w:eastAsia="Times New Roman" w:cstheme="minorHAnsi"/>
          <w:lang w:eastAsia="hr-HR"/>
        </w:rPr>
        <w:t xml:space="preserve">a </w:t>
      </w:r>
      <w:r w:rsidR="00257995" w:rsidRPr="0047683B">
        <w:rPr>
          <w:rFonts w:eastAsia="Times New Roman" w:cstheme="minorHAnsi"/>
          <w:lang w:eastAsia="hr-HR"/>
        </w:rPr>
        <w:t>koji se trenutno prat</w:t>
      </w:r>
      <w:r w:rsidR="005F29CA" w:rsidRPr="0047683B">
        <w:rPr>
          <w:rFonts w:eastAsia="Times New Roman" w:cstheme="minorHAnsi"/>
          <w:lang w:eastAsia="hr-HR"/>
        </w:rPr>
        <w:t>i</w:t>
      </w:r>
      <w:r w:rsidR="00257995" w:rsidRPr="0047683B">
        <w:rPr>
          <w:rFonts w:eastAsia="Times New Roman" w:cstheme="minorHAnsi"/>
          <w:lang w:eastAsia="hr-HR"/>
        </w:rPr>
        <w:t xml:space="preserve"> na razini EU</w:t>
      </w:r>
      <w:r w:rsidR="00922E75" w:rsidRPr="0047683B">
        <w:rPr>
          <w:rFonts w:eastAsia="Times New Roman" w:cstheme="minorHAnsi"/>
          <w:lang w:eastAsia="hr-HR"/>
        </w:rPr>
        <w:t>-a,</w:t>
      </w:r>
      <w:r w:rsidR="00257995" w:rsidRPr="0047683B">
        <w:rPr>
          <w:rFonts w:eastAsia="Times New Roman" w:cstheme="minorHAnsi"/>
          <w:lang w:eastAsia="hr-HR"/>
        </w:rPr>
        <w:t xml:space="preserve"> i za koj</w:t>
      </w:r>
      <w:r w:rsidR="005F29CA" w:rsidRPr="0047683B">
        <w:rPr>
          <w:rFonts w:eastAsia="Times New Roman" w:cstheme="minorHAnsi"/>
          <w:lang w:eastAsia="hr-HR"/>
        </w:rPr>
        <w:t>i</w:t>
      </w:r>
      <w:r w:rsidR="00257995" w:rsidRPr="0047683B">
        <w:rPr>
          <w:rFonts w:eastAsia="Times New Roman" w:cstheme="minorHAnsi"/>
          <w:lang w:eastAsia="hr-HR"/>
        </w:rPr>
        <w:t xml:space="preserve"> postoje javno dostupni podatci.  </w:t>
      </w:r>
    </w:p>
    <w:p w14:paraId="48577909" w14:textId="77777777" w:rsidR="00825B29" w:rsidRPr="007B0BCF" w:rsidRDefault="00825B29" w:rsidP="00825B29">
      <w:pPr>
        <w:tabs>
          <w:tab w:val="left" w:pos="7938"/>
        </w:tabs>
        <w:jc w:val="both"/>
        <w:rPr>
          <w:rFonts w:eastAsia="Calibri" w:cstheme="minorHAnsi"/>
          <w:color w:val="385623"/>
        </w:rPr>
      </w:pPr>
      <w:r w:rsidRPr="0047683B">
        <w:rPr>
          <w:rFonts w:eastAsia="Calibri" w:cstheme="minorHAnsi"/>
          <w:color w:val="385623"/>
        </w:rPr>
        <w:t>Pregled predloženih pokazatelja učinka je u slijedećoj tablici:</w:t>
      </w:r>
    </w:p>
    <w:tbl>
      <w:tblPr>
        <w:tblStyle w:val="Kadertabel1"/>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88"/>
        <w:gridCol w:w="3118"/>
        <w:gridCol w:w="992"/>
        <w:gridCol w:w="1276"/>
        <w:gridCol w:w="1276"/>
        <w:gridCol w:w="1417"/>
      </w:tblGrid>
      <w:tr w:rsidR="00825B29" w:rsidRPr="00825B29" w14:paraId="605D4535" w14:textId="77777777" w:rsidTr="00736350">
        <w:tc>
          <w:tcPr>
            <w:tcW w:w="988" w:type="dxa"/>
            <w:shd w:val="clear" w:color="auto" w:fill="538135"/>
            <w:vAlign w:val="center"/>
          </w:tcPr>
          <w:p w14:paraId="5ECB30F3"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Kod*</w:t>
            </w:r>
          </w:p>
        </w:tc>
        <w:tc>
          <w:tcPr>
            <w:tcW w:w="3118" w:type="dxa"/>
            <w:shd w:val="clear" w:color="auto" w:fill="538135"/>
            <w:vAlign w:val="center"/>
          </w:tcPr>
          <w:p w14:paraId="3421BC96"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Naziv pokazatelja učinka</w:t>
            </w:r>
          </w:p>
        </w:tc>
        <w:tc>
          <w:tcPr>
            <w:tcW w:w="992" w:type="dxa"/>
            <w:shd w:val="clear" w:color="auto" w:fill="538135"/>
            <w:vAlign w:val="center"/>
          </w:tcPr>
          <w:p w14:paraId="0D4C85F6" w14:textId="77777777" w:rsidR="00825B29" w:rsidRPr="00825B29" w:rsidRDefault="00825B29" w:rsidP="00736350">
            <w:pPr>
              <w:spacing w:before="40" w:after="40" w:line="276" w:lineRule="auto"/>
              <w:jc w:val="center"/>
              <w:rPr>
                <w:rFonts w:eastAsia="Calibri" w:cstheme="minorHAnsi"/>
                <w:sz w:val="20"/>
                <w:szCs w:val="20"/>
              </w:rPr>
            </w:pPr>
            <w:r w:rsidRPr="00825B29">
              <w:rPr>
                <w:rFonts w:eastAsia="Calibri" w:cstheme="minorHAnsi"/>
                <w:b/>
                <w:color w:val="FFFFFF"/>
                <w:sz w:val="20"/>
                <w:szCs w:val="20"/>
              </w:rPr>
              <w:t>Jedinica mjere</w:t>
            </w:r>
          </w:p>
        </w:tc>
        <w:tc>
          <w:tcPr>
            <w:tcW w:w="1276" w:type="dxa"/>
            <w:shd w:val="clear" w:color="auto" w:fill="538135"/>
            <w:vAlign w:val="center"/>
          </w:tcPr>
          <w:p w14:paraId="4BBBDC13"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Početna vrijednost</w:t>
            </w:r>
          </w:p>
        </w:tc>
        <w:tc>
          <w:tcPr>
            <w:tcW w:w="1276" w:type="dxa"/>
            <w:shd w:val="clear" w:color="auto" w:fill="538135"/>
            <w:vAlign w:val="center"/>
          </w:tcPr>
          <w:p w14:paraId="00F6971A"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Ciljana vrijednost (2035.)</w:t>
            </w:r>
          </w:p>
        </w:tc>
        <w:tc>
          <w:tcPr>
            <w:tcW w:w="1417" w:type="dxa"/>
            <w:shd w:val="clear" w:color="auto" w:fill="538135"/>
            <w:vAlign w:val="center"/>
          </w:tcPr>
          <w:p w14:paraId="0F0F7DE4" w14:textId="77777777" w:rsidR="00825B29" w:rsidRPr="00825B29" w:rsidRDefault="00825B29" w:rsidP="00736350">
            <w:pPr>
              <w:spacing w:before="40" w:after="40" w:line="276" w:lineRule="auto"/>
              <w:jc w:val="center"/>
              <w:rPr>
                <w:rFonts w:eastAsia="Calibri" w:cstheme="minorHAnsi"/>
                <w:b/>
                <w:color w:val="FFFFFF"/>
                <w:sz w:val="20"/>
                <w:szCs w:val="20"/>
              </w:rPr>
            </w:pPr>
            <w:r w:rsidRPr="00825B29">
              <w:rPr>
                <w:rFonts w:eastAsia="Calibri" w:cstheme="minorHAnsi"/>
                <w:b/>
                <w:color w:val="FFFFFF"/>
                <w:sz w:val="20"/>
                <w:szCs w:val="20"/>
              </w:rPr>
              <w:t>Poveznica sa strateškim ciljem</w:t>
            </w:r>
          </w:p>
        </w:tc>
      </w:tr>
      <w:tr w:rsidR="00825B29" w:rsidRPr="00825B29" w14:paraId="22A22516" w14:textId="77777777" w:rsidTr="00736350">
        <w:tc>
          <w:tcPr>
            <w:tcW w:w="988" w:type="dxa"/>
            <w:shd w:val="clear" w:color="auto" w:fill="F1F7ED"/>
          </w:tcPr>
          <w:p w14:paraId="7534DC21"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07EDC64B"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 xml:space="preserve">Godišnje izvješće o napretku biogospodarstva </w:t>
            </w:r>
          </w:p>
        </w:tc>
        <w:tc>
          <w:tcPr>
            <w:tcW w:w="992" w:type="dxa"/>
            <w:shd w:val="clear" w:color="auto" w:fill="F1F7ED"/>
            <w:vAlign w:val="center"/>
          </w:tcPr>
          <w:p w14:paraId="47DCD8BA"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broj</w:t>
            </w:r>
          </w:p>
        </w:tc>
        <w:tc>
          <w:tcPr>
            <w:tcW w:w="1276" w:type="dxa"/>
            <w:shd w:val="clear" w:color="auto" w:fill="F1F7ED"/>
            <w:vAlign w:val="center"/>
          </w:tcPr>
          <w:p w14:paraId="7E733B39"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0</w:t>
            </w:r>
          </w:p>
        </w:tc>
        <w:tc>
          <w:tcPr>
            <w:tcW w:w="1276" w:type="dxa"/>
            <w:shd w:val="clear" w:color="auto" w:fill="F1F7ED"/>
            <w:vAlign w:val="center"/>
          </w:tcPr>
          <w:p w14:paraId="25B3E9E0"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11</w:t>
            </w:r>
          </w:p>
        </w:tc>
        <w:tc>
          <w:tcPr>
            <w:tcW w:w="1417" w:type="dxa"/>
            <w:shd w:val="clear" w:color="auto" w:fill="F1F7ED"/>
            <w:vAlign w:val="center"/>
          </w:tcPr>
          <w:p w14:paraId="02200D12"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1</w:t>
            </w:r>
          </w:p>
        </w:tc>
      </w:tr>
      <w:tr w:rsidR="00825B29" w:rsidRPr="00825B29" w14:paraId="5FAD51D2" w14:textId="77777777" w:rsidTr="00736350">
        <w:tc>
          <w:tcPr>
            <w:tcW w:w="988" w:type="dxa"/>
            <w:shd w:val="clear" w:color="auto" w:fill="F1F7ED"/>
          </w:tcPr>
          <w:p w14:paraId="417583A7"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54487329"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Uspostava distribucijskih centara za biomasu</w:t>
            </w:r>
          </w:p>
        </w:tc>
        <w:tc>
          <w:tcPr>
            <w:tcW w:w="992" w:type="dxa"/>
            <w:shd w:val="clear" w:color="auto" w:fill="F1F7ED"/>
            <w:vAlign w:val="center"/>
          </w:tcPr>
          <w:p w14:paraId="7A76CF65"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broj</w:t>
            </w:r>
          </w:p>
        </w:tc>
        <w:tc>
          <w:tcPr>
            <w:tcW w:w="1276" w:type="dxa"/>
            <w:shd w:val="clear" w:color="auto" w:fill="F1F7ED"/>
            <w:vAlign w:val="center"/>
          </w:tcPr>
          <w:p w14:paraId="3AFF5E49"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0</w:t>
            </w:r>
          </w:p>
        </w:tc>
        <w:tc>
          <w:tcPr>
            <w:tcW w:w="1276" w:type="dxa"/>
            <w:shd w:val="clear" w:color="auto" w:fill="F1F7ED"/>
            <w:vAlign w:val="center"/>
          </w:tcPr>
          <w:p w14:paraId="71D0F573"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5</w:t>
            </w:r>
          </w:p>
        </w:tc>
        <w:tc>
          <w:tcPr>
            <w:tcW w:w="1417" w:type="dxa"/>
            <w:shd w:val="clear" w:color="auto" w:fill="F1F7ED"/>
            <w:vAlign w:val="center"/>
          </w:tcPr>
          <w:p w14:paraId="7865424C"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2</w:t>
            </w:r>
          </w:p>
        </w:tc>
      </w:tr>
      <w:tr w:rsidR="00825B29" w:rsidRPr="00825B29" w14:paraId="7C679BCB" w14:textId="77777777" w:rsidTr="00736350">
        <w:tc>
          <w:tcPr>
            <w:tcW w:w="988" w:type="dxa"/>
            <w:shd w:val="clear" w:color="auto" w:fill="F1F7ED"/>
          </w:tcPr>
          <w:p w14:paraId="1728DB01" w14:textId="77777777" w:rsidR="00825B29" w:rsidRPr="00825B29" w:rsidRDefault="00825B29" w:rsidP="00736350">
            <w:pPr>
              <w:spacing w:before="40" w:after="40"/>
              <w:jc w:val="both"/>
              <w:rPr>
                <w:rFonts w:eastAsia="Calibri" w:cstheme="minorHAnsi"/>
                <w:sz w:val="20"/>
                <w:szCs w:val="20"/>
              </w:rPr>
            </w:pPr>
          </w:p>
        </w:tc>
        <w:tc>
          <w:tcPr>
            <w:tcW w:w="3118" w:type="dxa"/>
            <w:shd w:val="clear" w:color="auto" w:fill="F1F7ED"/>
            <w:vAlign w:val="center"/>
          </w:tcPr>
          <w:p w14:paraId="1566768E"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Dodana vrijednost biogospodarstva</w:t>
            </w:r>
          </w:p>
        </w:tc>
        <w:tc>
          <w:tcPr>
            <w:tcW w:w="992" w:type="dxa"/>
            <w:shd w:val="clear" w:color="auto" w:fill="F1F7ED"/>
            <w:vAlign w:val="center"/>
          </w:tcPr>
          <w:p w14:paraId="16DEDA1D"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mil. EUR</w:t>
            </w:r>
          </w:p>
        </w:tc>
        <w:tc>
          <w:tcPr>
            <w:tcW w:w="1276" w:type="dxa"/>
            <w:shd w:val="clear" w:color="auto" w:fill="F1F7ED"/>
            <w:vAlign w:val="center"/>
          </w:tcPr>
          <w:p w14:paraId="7E624AAC"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3.700</w:t>
            </w:r>
          </w:p>
        </w:tc>
        <w:tc>
          <w:tcPr>
            <w:tcW w:w="1276" w:type="dxa"/>
            <w:shd w:val="clear" w:color="auto" w:fill="F1F7ED"/>
            <w:vAlign w:val="center"/>
          </w:tcPr>
          <w:p w14:paraId="1BD794E8"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9.139</w:t>
            </w:r>
          </w:p>
        </w:tc>
        <w:tc>
          <w:tcPr>
            <w:tcW w:w="1417" w:type="dxa"/>
            <w:shd w:val="clear" w:color="auto" w:fill="F1F7ED"/>
            <w:vAlign w:val="center"/>
          </w:tcPr>
          <w:p w14:paraId="38785BD4"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3</w:t>
            </w:r>
          </w:p>
        </w:tc>
      </w:tr>
      <w:tr w:rsidR="00825B29" w:rsidRPr="00825B29" w14:paraId="2C3C7DD0" w14:textId="77777777" w:rsidTr="00736350">
        <w:tc>
          <w:tcPr>
            <w:tcW w:w="988" w:type="dxa"/>
            <w:shd w:val="clear" w:color="auto" w:fill="F1F7ED"/>
          </w:tcPr>
          <w:p w14:paraId="2DD0BB66" w14:textId="77777777" w:rsidR="00825B29" w:rsidRPr="00825B29" w:rsidRDefault="00825B29" w:rsidP="00736350">
            <w:pPr>
              <w:spacing w:before="40" w:after="40"/>
              <w:jc w:val="both"/>
              <w:rPr>
                <w:rFonts w:eastAsia="Calibri" w:cstheme="minorHAnsi"/>
                <w:sz w:val="20"/>
                <w:szCs w:val="20"/>
              </w:rPr>
            </w:pPr>
            <w:bookmarkStart w:id="1" w:name="_Hlk157508589"/>
          </w:p>
        </w:tc>
        <w:tc>
          <w:tcPr>
            <w:tcW w:w="3118" w:type="dxa"/>
            <w:shd w:val="clear" w:color="auto" w:fill="F1F7ED"/>
            <w:vAlign w:val="center"/>
          </w:tcPr>
          <w:p w14:paraId="3BB20D40" w14:textId="77777777" w:rsidR="00825B29" w:rsidRPr="00825B29" w:rsidRDefault="00825B29" w:rsidP="00736350">
            <w:pPr>
              <w:spacing w:before="40" w:after="40"/>
              <w:rPr>
                <w:rFonts w:eastAsia="Calibri" w:cstheme="minorHAnsi"/>
                <w:sz w:val="20"/>
                <w:szCs w:val="20"/>
              </w:rPr>
            </w:pPr>
            <w:r w:rsidRPr="00825B29">
              <w:rPr>
                <w:rFonts w:eastAsia="Calibri" w:cstheme="minorHAnsi"/>
                <w:sz w:val="20"/>
                <w:szCs w:val="20"/>
              </w:rPr>
              <w:t>Dodana vrijednost po zaposlenom u biogospodarstvu</w:t>
            </w:r>
          </w:p>
        </w:tc>
        <w:tc>
          <w:tcPr>
            <w:tcW w:w="992" w:type="dxa"/>
            <w:shd w:val="clear" w:color="auto" w:fill="F1F7ED"/>
            <w:vAlign w:val="center"/>
          </w:tcPr>
          <w:p w14:paraId="38B317E2"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tis. EUR</w:t>
            </w:r>
          </w:p>
        </w:tc>
        <w:tc>
          <w:tcPr>
            <w:tcW w:w="1276" w:type="dxa"/>
            <w:shd w:val="clear" w:color="auto" w:fill="F1F7ED"/>
            <w:vAlign w:val="center"/>
          </w:tcPr>
          <w:p w14:paraId="49A80574"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18</w:t>
            </w:r>
          </w:p>
        </w:tc>
        <w:tc>
          <w:tcPr>
            <w:tcW w:w="1276" w:type="dxa"/>
            <w:shd w:val="clear" w:color="auto" w:fill="F1F7ED"/>
            <w:vAlign w:val="center"/>
          </w:tcPr>
          <w:p w14:paraId="4DE61080"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23</w:t>
            </w:r>
          </w:p>
        </w:tc>
        <w:tc>
          <w:tcPr>
            <w:tcW w:w="1417" w:type="dxa"/>
            <w:shd w:val="clear" w:color="auto" w:fill="F1F7ED"/>
            <w:vAlign w:val="center"/>
          </w:tcPr>
          <w:p w14:paraId="0E13E4C8" w14:textId="77777777" w:rsidR="00825B29" w:rsidRPr="00825B29" w:rsidRDefault="00825B29" w:rsidP="00736350">
            <w:pPr>
              <w:spacing w:before="40" w:after="40"/>
              <w:jc w:val="center"/>
              <w:rPr>
                <w:rFonts w:eastAsia="Calibri" w:cstheme="minorHAnsi"/>
                <w:sz w:val="20"/>
                <w:szCs w:val="20"/>
              </w:rPr>
            </w:pPr>
            <w:r w:rsidRPr="00825B29">
              <w:rPr>
                <w:rFonts w:eastAsia="Calibri" w:cstheme="minorHAnsi"/>
                <w:sz w:val="20"/>
                <w:szCs w:val="20"/>
              </w:rPr>
              <w:t>3</w:t>
            </w:r>
          </w:p>
        </w:tc>
      </w:tr>
      <w:bookmarkEnd w:id="1"/>
    </w:tbl>
    <w:p w14:paraId="13C7B2FF" w14:textId="0ED087CF" w:rsidR="00B33555" w:rsidRPr="0042150B" w:rsidRDefault="00B33555" w:rsidP="00B33555">
      <w:pPr>
        <w:spacing w:after="0" w:line="276" w:lineRule="auto"/>
        <w:jc w:val="both"/>
        <w:rPr>
          <w:rFonts w:eastAsia="Times New Roman" w:cstheme="minorHAnsi"/>
          <w:lang w:eastAsia="hr-HR"/>
        </w:rPr>
      </w:pPr>
    </w:p>
    <w:p w14:paraId="4E2A235B" w14:textId="5D426599" w:rsidR="000C3FDE" w:rsidRPr="0047683B" w:rsidRDefault="00B33555" w:rsidP="005F29CA">
      <w:pPr>
        <w:spacing w:after="200" w:line="276" w:lineRule="auto"/>
        <w:jc w:val="both"/>
        <w:rPr>
          <w:rFonts w:eastAsia="Times New Roman" w:cstheme="minorHAnsi"/>
          <w:lang w:eastAsia="hr-HR"/>
        </w:rPr>
      </w:pPr>
      <w:r w:rsidRPr="0042150B">
        <w:rPr>
          <w:rFonts w:cstheme="minorHAnsi"/>
          <w:bCs/>
        </w:rPr>
        <w:t xml:space="preserve">Slijedom primjene ovog evaluacijskog pitanja, potvrđena je usklađenost strateških ciljeva i provedbenih mehanizama s ranije istaknutim razvojnim potrebama i potencijalima. Nakon uvažavanja manjih sugestija </w:t>
      </w:r>
      <w:r w:rsidRPr="0047683B">
        <w:rPr>
          <w:rFonts w:cstheme="minorHAnsi"/>
          <w:bCs/>
        </w:rPr>
        <w:t xml:space="preserve">tima za vrednovanje u ovom dijelu </w:t>
      </w:r>
      <w:r w:rsidR="005B5D10" w:rsidRPr="0047683B">
        <w:rPr>
          <w:rFonts w:cstheme="minorHAnsi"/>
        </w:rPr>
        <w:t xml:space="preserve">Nacrta </w:t>
      </w:r>
      <w:r w:rsidRPr="0047683B">
        <w:rPr>
          <w:rFonts w:cstheme="minorHAnsi"/>
          <w:bCs/>
        </w:rPr>
        <w:t xml:space="preserve">Strategije, vrednovanje je potvrdilo da je ova usklađenost potpuna i  zadovoljavajuća. Ujedno, </w:t>
      </w:r>
      <w:r w:rsidRPr="0047683B">
        <w:rPr>
          <w:rFonts w:cstheme="minorHAnsi"/>
        </w:rPr>
        <w:t xml:space="preserve">utvrđeno je da su ciljevi i provedbeni mehanizmi definirani na način </w:t>
      </w:r>
      <w:r w:rsidRPr="0047683B">
        <w:rPr>
          <w:rFonts w:cstheme="minorHAnsi"/>
        </w:rPr>
        <w:lastRenderedPageBreak/>
        <w:t>da je vidljiva njihova komplementarnost, tj. međusobna povezanost</w:t>
      </w:r>
      <w:r w:rsidR="00257995" w:rsidRPr="0047683B">
        <w:rPr>
          <w:rFonts w:cstheme="minorHAnsi"/>
        </w:rPr>
        <w:t xml:space="preserve">, </w:t>
      </w:r>
      <w:r w:rsidRPr="0047683B">
        <w:rPr>
          <w:rFonts w:cstheme="minorHAnsi"/>
        </w:rPr>
        <w:t xml:space="preserve"> a koja će pridonijeti u cjelini  njihovoj učinkovitijoj i  djelotvornijoj realizaciji, tj. uspješnijoj provedbi Strategije.  </w:t>
      </w:r>
      <w:bookmarkStart w:id="2" w:name="_Hlk157770237"/>
      <w:r w:rsidR="005F29CA" w:rsidRPr="0047683B">
        <w:rPr>
          <w:rFonts w:eastAsia="Times New Roman" w:cstheme="minorHAnsi"/>
          <w:lang w:eastAsia="hr-HR"/>
        </w:rPr>
        <w:t xml:space="preserve">Prethodno definirani pokazatelji </w:t>
      </w:r>
      <w:r w:rsidR="0039141B" w:rsidRPr="0047683B">
        <w:rPr>
          <w:rFonts w:eastAsia="Times New Roman" w:cstheme="minorHAnsi"/>
          <w:lang w:eastAsia="hr-HR"/>
        </w:rPr>
        <w:t xml:space="preserve">koje je predložila </w:t>
      </w:r>
      <w:r w:rsidR="005F29CA" w:rsidRPr="0047683B">
        <w:rPr>
          <w:rFonts w:eastAsia="Times New Roman" w:cstheme="minorHAnsi"/>
          <w:lang w:eastAsia="hr-HR"/>
        </w:rPr>
        <w:t>Stručn</w:t>
      </w:r>
      <w:r w:rsidR="0039141B" w:rsidRPr="0047683B">
        <w:rPr>
          <w:rFonts w:eastAsia="Times New Roman" w:cstheme="minorHAnsi"/>
          <w:lang w:eastAsia="hr-HR"/>
        </w:rPr>
        <w:t>a</w:t>
      </w:r>
      <w:r w:rsidR="005F29CA" w:rsidRPr="0047683B">
        <w:rPr>
          <w:rFonts w:eastAsia="Times New Roman" w:cstheme="minorHAnsi"/>
          <w:lang w:eastAsia="hr-HR"/>
        </w:rPr>
        <w:t xml:space="preserve"> radne skupin</w:t>
      </w:r>
      <w:r w:rsidR="0039141B" w:rsidRPr="0047683B">
        <w:rPr>
          <w:rFonts w:eastAsia="Times New Roman" w:cstheme="minorHAnsi"/>
          <w:lang w:eastAsia="hr-HR"/>
        </w:rPr>
        <w:t>a</w:t>
      </w:r>
      <w:r w:rsidR="005F29CA" w:rsidRPr="0047683B">
        <w:rPr>
          <w:rFonts w:eastAsia="Times New Roman" w:cstheme="minorHAnsi"/>
          <w:lang w:eastAsia="hr-HR"/>
        </w:rPr>
        <w:t xml:space="preserve"> i izrađivač </w:t>
      </w:r>
      <w:r w:rsidR="005F29CA" w:rsidRPr="0047683B">
        <w:rPr>
          <w:rFonts w:eastAsia="Times New Roman" w:cstheme="minorHAnsi"/>
          <w:i/>
          <w:lang w:eastAsia="hr-HR"/>
        </w:rPr>
        <w:t>Godišnje izvješće o napretku biogospodarstva</w:t>
      </w:r>
      <w:r w:rsidR="005F29CA" w:rsidRPr="0047683B">
        <w:rPr>
          <w:rFonts w:eastAsia="Times New Roman" w:cstheme="minorHAnsi"/>
          <w:lang w:eastAsia="hr-HR"/>
        </w:rPr>
        <w:t xml:space="preserve"> i </w:t>
      </w:r>
      <w:r w:rsidR="005F29CA" w:rsidRPr="0047683B">
        <w:rPr>
          <w:rFonts w:eastAsia="Times New Roman" w:cstheme="minorHAnsi"/>
          <w:i/>
          <w:lang w:eastAsia="hr-HR"/>
        </w:rPr>
        <w:t>Uspostav</w:t>
      </w:r>
      <w:r w:rsidR="005270D3" w:rsidRPr="0047683B">
        <w:rPr>
          <w:rFonts w:eastAsia="Times New Roman" w:cstheme="minorHAnsi"/>
          <w:i/>
          <w:lang w:eastAsia="hr-HR"/>
        </w:rPr>
        <w:t>a</w:t>
      </w:r>
      <w:r w:rsidR="005F29CA" w:rsidRPr="0047683B">
        <w:rPr>
          <w:rFonts w:eastAsia="Times New Roman" w:cstheme="minorHAnsi"/>
          <w:i/>
          <w:lang w:eastAsia="hr-HR"/>
        </w:rPr>
        <w:t xml:space="preserve"> distribucijskih centara za biomasu</w:t>
      </w:r>
      <w:r w:rsidR="0039141B" w:rsidRPr="0047683B">
        <w:rPr>
          <w:rFonts w:eastAsia="Times New Roman" w:cstheme="minorHAnsi"/>
          <w:i/>
          <w:lang w:eastAsia="hr-HR"/>
        </w:rPr>
        <w:t>,</w:t>
      </w:r>
      <w:r w:rsidR="005F29CA" w:rsidRPr="0047683B">
        <w:rPr>
          <w:rFonts w:eastAsia="Times New Roman" w:cstheme="minorHAnsi"/>
          <w:i/>
          <w:lang w:eastAsia="hr-HR"/>
        </w:rPr>
        <w:t xml:space="preserve"> </w:t>
      </w:r>
      <w:r w:rsidR="005F29CA" w:rsidRPr="0047683B">
        <w:rPr>
          <w:rFonts w:eastAsia="Times New Roman" w:cstheme="minorHAnsi"/>
          <w:lang w:eastAsia="hr-HR"/>
        </w:rPr>
        <w:t>i dalje se predlažu u dokumentu</w:t>
      </w:r>
      <w:r w:rsidR="00457CAC" w:rsidRPr="0047683B">
        <w:rPr>
          <w:rFonts w:eastAsia="Times New Roman" w:cstheme="minorHAnsi"/>
          <w:lang w:eastAsia="hr-HR"/>
        </w:rPr>
        <w:t>,</w:t>
      </w:r>
      <w:r w:rsidR="005F29CA" w:rsidRPr="0047683B">
        <w:rPr>
          <w:rFonts w:eastAsia="Times New Roman" w:cstheme="minorHAnsi"/>
          <w:lang w:eastAsia="hr-HR"/>
        </w:rPr>
        <w:t xml:space="preserve"> iako oni u svojoj suštini nisu pokazatelji učinka nego više pokazatelji rezultata te</w:t>
      </w:r>
      <w:r w:rsidR="0039141B" w:rsidRPr="0047683B">
        <w:rPr>
          <w:rFonts w:eastAsia="Times New Roman" w:cstheme="minorHAnsi"/>
          <w:lang w:eastAsia="hr-HR"/>
        </w:rPr>
        <w:t xml:space="preserve">, </w:t>
      </w:r>
      <w:r w:rsidR="005F29CA" w:rsidRPr="0047683B">
        <w:rPr>
          <w:rFonts w:eastAsia="Times New Roman" w:cstheme="minorHAnsi"/>
          <w:lang w:eastAsia="hr-HR"/>
        </w:rPr>
        <w:t>njima</w:t>
      </w:r>
      <w:r w:rsidR="0039141B" w:rsidRPr="0047683B">
        <w:rPr>
          <w:rFonts w:eastAsia="Times New Roman" w:cstheme="minorHAnsi"/>
          <w:lang w:eastAsia="hr-HR"/>
        </w:rPr>
        <w:t>,</w:t>
      </w:r>
      <w:r w:rsidR="005F29CA" w:rsidRPr="0047683B">
        <w:rPr>
          <w:rFonts w:eastAsia="Times New Roman" w:cstheme="minorHAnsi"/>
          <w:lang w:eastAsia="hr-HR"/>
        </w:rPr>
        <w:t xml:space="preserve"> po mišljenju </w:t>
      </w:r>
      <w:r w:rsidR="006E594B" w:rsidRPr="0047683B">
        <w:rPr>
          <w:rFonts w:eastAsia="Times New Roman" w:cstheme="minorHAnsi"/>
          <w:lang w:eastAsia="hr-HR"/>
        </w:rPr>
        <w:t>tima za vrednovanje</w:t>
      </w:r>
      <w:r w:rsidR="0039141B" w:rsidRPr="0047683B">
        <w:rPr>
          <w:rFonts w:eastAsia="Times New Roman" w:cstheme="minorHAnsi"/>
          <w:lang w:eastAsia="hr-HR"/>
        </w:rPr>
        <w:t xml:space="preserve">, neće biti </w:t>
      </w:r>
      <w:r w:rsidR="005F29CA" w:rsidRPr="0047683B">
        <w:rPr>
          <w:rFonts w:eastAsia="Times New Roman" w:cstheme="minorHAnsi"/>
          <w:lang w:eastAsia="hr-HR"/>
        </w:rPr>
        <w:t xml:space="preserve"> </w:t>
      </w:r>
      <w:r w:rsidR="0039141B" w:rsidRPr="0047683B">
        <w:rPr>
          <w:rFonts w:eastAsia="Times New Roman" w:cstheme="minorHAnsi"/>
          <w:lang w:eastAsia="hr-HR"/>
        </w:rPr>
        <w:t xml:space="preserve">moguće pratiti </w:t>
      </w:r>
      <w:r w:rsidR="005F29CA" w:rsidRPr="0047683B">
        <w:rPr>
          <w:rFonts w:eastAsia="Times New Roman" w:cstheme="minorHAnsi"/>
          <w:lang w:eastAsia="hr-HR"/>
        </w:rPr>
        <w:t>provedb</w:t>
      </w:r>
      <w:r w:rsidR="0039141B" w:rsidRPr="0047683B">
        <w:rPr>
          <w:rFonts w:eastAsia="Times New Roman" w:cstheme="minorHAnsi"/>
          <w:lang w:eastAsia="hr-HR"/>
        </w:rPr>
        <w:t>u</w:t>
      </w:r>
      <w:r w:rsidR="005F29CA" w:rsidRPr="0047683B">
        <w:rPr>
          <w:rFonts w:eastAsia="Times New Roman" w:cstheme="minorHAnsi"/>
          <w:lang w:eastAsia="hr-HR"/>
        </w:rPr>
        <w:t xml:space="preserve"> </w:t>
      </w:r>
      <w:r w:rsidR="00457CAC" w:rsidRPr="0047683B">
        <w:rPr>
          <w:rFonts w:eastAsia="Times New Roman" w:cstheme="minorHAnsi"/>
          <w:lang w:eastAsia="hr-HR"/>
        </w:rPr>
        <w:t>Strategije</w:t>
      </w:r>
      <w:r w:rsidR="005F29CA" w:rsidRPr="0047683B">
        <w:rPr>
          <w:rFonts w:eastAsia="Times New Roman" w:cstheme="minorHAnsi"/>
          <w:lang w:eastAsia="hr-HR"/>
        </w:rPr>
        <w:t xml:space="preserve">. </w:t>
      </w:r>
    </w:p>
    <w:p w14:paraId="41AE2B06" w14:textId="1E0216B8" w:rsidR="005F29CA" w:rsidRPr="0047683B" w:rsidRDefault="005F29CA" w:rsidP="005F29CA">
      <w:pPr>
        <w:spacing w:after="200" w:line="276" w:lineRule="auto"/>
        <w:jc w:val="both"/>
        <w:rPr>
          <w:rFonts w:eastAsia="Times New Roman" w:cstheme="minorHAnsi"/>
          <w:lang w:eastAsia="hr-HR"/>
        </w:rPr>
      </w:pPr>
      <w:r w:rsidRPr="0047683B">
        <w:rPr>
          <w:rFonts w:eastAsia="Times New Roman" w:cstheme="minorHAnsi"/>
          <w:lang w:eastAsia="hr-HR"/>
        </w:rPr>
        <w:t xml:space="preserve">Predložene pokazatelje </w:t>
      </w:r>
      <w:r w:rsidRPr="0047683B">
        <w:rPr>
          <w:rFonts w:eastAsia="Times New Roman" w:cstheme="minorHAnsi"/>
          <w:i/>
          <w:lang w:eastAsia="hr-HR"/>
        </w:rPr>
        <w:t>Dodana vrijednost biogospodarstva</w:t>
      </w:r>
      <w:r w:rsidRPr="0047683B">
        <w:rPr>
          <w:rFonts w:eastAsia="Times New Roman" w:cstheme="minorHAnsi"/>
          <w:lang w:eastAsia="hr-HR"/>
        </w:rPr>
        <w:t xml:space="preserve"> i </w:t>
      </w:r>
      <w:r w:rsidRPr="0047683B">
        <w:rPr>
          <w:rFonts w:eastAsia="Times New Roman" w:cstheme="minorHAnsi"/>
          <w:i/>
          <w:lang w:eastAsia="hr-HR"/>
        </w:rPr>
        <w:t xml:space="preserve">Dodana vrijednost po zaposlenom u biogospodarstvu </w:t>
      </w:r>
      <w:r w:rsidRPr="0047683B">
        <w:rPr>
          <w:rFonts w:eastAsia="Times New Roman" w:cstheme="minorHAnsi"/>
          <w:lang w:eastAsia="hr-HR"/>
        </w:rPr>
        <w:t xml:space="preserve">treba provjeriti dodatno sa MRRFEU, objasniti </w:t>
      </w:r>
      <w:r w:rsidR="00457CAC" w:rsidRPr="0047683B">
        <w:rPr>
          <w:rFonts w:eastAsia="Times New Roman" w:cstheme="minorHAnsi"/>
          <w:lang w:eastAsia="hr-HR"/>
        </w:rPr>
        <w:t>te</w:t>
      </w:r>
      <w:r w:rsidRPr="0047683B">
        <w:rPr>
          <w:rFonts w:eastAsia="Times New Roman" w:cstheme="minorHAnsi"/>
          <w:lang w:eastAsia="hr-HR"/>
        </w:rPr>
        <w:t xml:space="preserve"> </w:t>
      </w:r>
      <w:r w:rsidR="00457CAC" w:rsidRPr="0047683B">
        <w:rPr>
          <w:rFonts w:eastAsia="Times New Roman" w:cstheme="minorHAnsi"/>
          <w:lang w:eastAsia="hr-HR"/>
        </w:rPr>
        <w:t>zatražiti</w:t>
      </w:r>
      <w:r w:rsidRPr="0047683B">
        <w:rPr>
          <w:rFonts w:eastAsia="Times New Roman" w:cstheme="minorHAnsi"/>
          <w:lang w:eastAsia="hr-HR"/>
        </w:rPr>
        <w:t xml:space="preserve"> njihov</w:t>
      </w:r>
      <w:r w:rsidR="006E594B" w:rsidRPr="0047683B">
        <w:rPr>
          <w:rFonts w:eastAsia="Times New Roman" w:cstheme="minorHAnsi"/>
          <w:lang w:eastAsia="hr-HR"/>
        </w:rPr>
        <w:t>o</w:t>
      </w:r>
      <w:r w:rsidRPr="0047683B">
        <w:rPr>
          <w:rFonts w:eastAsia="Times New Roman" w:cstheme="minorHAnsi"/>
          <w:lang w:eastAsia="hr-HR"/>
        </w:rPr>
        <w:t xml:space="preserve"> uključivanje u </w:t>
      </w:r>
      <w:r w:rsidR="000C3FDE" w:rsidRPr="0047683B">
        <w:rPr>
          <w:rFonts w:eastAsia="Times New Roman" w:cstheme="minorHAnsi"/>
          <w:lang w:eastAsia="hr-HR"/>
        </w:rPr>
        <w:t>B</w:t>
      </w:r>
      <w:r w:rsidRPr="0047683B">
        <w:rPr>
          <w:rFonts w:eastAsia="Times New Roman" w:cstheme="minorHAnsi"/>
          <w:lang w:eastAsia="hr-HR"/>
        </w:rPr>
        <w:t xml:space="preserve">iblioteku </w:t>
      </w:r>
      <w:r w:rsidR="00457CAC" w:rsidRPr="0047683B">
        <w:rPr>
          <w:rFonts w:eastAsia="Times New Roman" w:cstheme="minorHAnsi"/>
          <w:lang w:eastAsia="hr-HR"/>
        </w:rPr>
        <w:t>pokazatelja</w:t>
      </w:r>
      <w:r w:rsidRPr="0047683B">
        <w:rPr>
          <w:rFonts w:eastAsia="Times New Roman" w:cstheme="minorHAnsi"/>
          <w:lang w:eastAsia="hr-HR"/>
        </w:rPr>
        <w:t xml:space="preserve">. </w:t>
      </w:r>
      <w:bookmarkEnd w:id="2"/>
    </w:p>
    <w:p w14:paraId="767BD6C5" w14:textId="77777777" w:rsidR="00B33555" w:rsidRPr="0047683B" w:rsidRDefault="00B33555" w:rsidP="00B33555">
      <w:pPr>
        <w:spacing w:before="100" w:beforeAutospacing="1" w:after="100" w:afterAutospacing="1"/>
        <w:jc w:val="both"/>
        <w:rPr>
          <w:rFonts w:cstheme="minorHAnsi"/>
          <w:b/>
          <w:color w:val="0070C0"/>
        </w:rPr>
      </w:pPr>
      <w:r w:rsidRPr="0047683B">
        <w:rPr>
          <w:rFonts w:cstheme="minorHAnsi"/>
          <w:b/>
          <w:color w:val="0070C0"/>
          <w:u w:val="single"/>
        </w:rPr>
        <w:t>Evaluacijsko pitanje 5</w:t>
      </w:r>
      <w:r w:rsidRPr="0047683B">
        <w:rPr>
          <w:rFonts w:cstheme="minorHAnsi"/>
          <w:b/>
          <w:color w:val="0070C0"/>
        </w:rPr>
        <w:t>.: Jesu li su svi ključni dionici  konzultirani i uključeni u pripremu Strategije na adekvatan način?</w:t>
      </w:r>
    </w:p>
    <w:p w14:paraId="07EB4472" w14:textId="003629AD" w:rsidR="00B33555" w:rsidRPr="00541075" w:rsidRDefault="00B33555" w:rsidP="00B33555">
      <w:pPr>
        <w:spacing w:after="200" w:line="276" w:lineRule="auto"/>
        <w:jc w:val="both"/>
        <w:rPr>
          <w:rFonts w:cstheme="minorHAnsi"/>
          <w:bCs/>
        </w:rPr>
      </w:pPr>
      <w:r w:rsidRPr="0047683B">
        <w:rPr>
          <w:rFonts w:cstheme="minorHAnsi"/>
          <w:bCs/>
        </w:rPr>
        <w:t xml:space="preserve">Iako je kriterij učinkovitosti presudan prilikom realizacije vrednovanja tijekom kao i nakon provedbe akta strateškog planiranja,  korisno ga je primijeniti i u fazi prethodnog vrednovanja. Među ostalim, za njegovo je sagledavanje bilo potrebno procijeniti razinu uključenosti ključnih dionika u proces izrade </w:t>
      </w:r>
      <w:r w:rsidR="005B5D10" w:rsidRPr="0047683B">
        <w:rPr>
          <w:rFonts w:cstheme="minorHAnsi"/>
        </w:rPr>
        <w:t>Nacrta</w:t>
      </w:r>
      <w:r w:rsidR="005B5D10" w:rsidRPr="00154905">
        <w:rPr>
          <w:rFonts w:cstheme="minorHAnsi"/>
        </w:rPr>
        <w:t xml:space="preserve"> </w:t>
      </w:r>
      <w:r w:rsidRPr="00541075">
        <w:rPr>
          <w:rFonts w:cstheme="minorHAnsi"/>
          <w:bCs/>
        </w:rPr>
        <w:t xml:space="preserve">Strategije. Ova procjena nije značajna samo iz razloga da se potvrdi da se radilo o participativnom procesu izrade </w:t>
      </w:r>
      <w:r w:rsidR="005B5D10" w:rsidRPr="00B87D94">
        <w:rPr>
          <w:rFonts w:cstheme="minorHAnsi"/>
        </w:rPr>
        <w:t>Nacrta</w:t>
      </w:r>
      <w:r w:rsidR="005B5D10" w:rsidRPr="00154905">
        <w:rPr>
          <w:rFonts w:cstheme="minorHAnsi"/>
        </w:rPr>
        <w:t xml:space="preserve"> </w:t>
      </w:r>
      <w:r w:rsidRPr="00541075">
        <w:rPr>
          <w:rFonts w:cstheme="minorHAnsi"/>
          <w:bCs/>
        </w:rPr>
        <w:t xml:space="preserve">Strategije, </w:t>
      </w:r>
      <w:r>
        <w:rPr>
          <w:rFonts w:cstheme="minorHAnsi"/>
          <w:bCs/>
        </w:rPr>
        <w:t xml:space="preserve">uz napomenu da je </w:t>
      </w:r>
      <w:r w:rsidRPr="00541075">
        <w:rPr>
          <w:rFonts w:cstheme="minorHAnsi"/>
          <w:bCs/>
        </w:rPr>
        <w:t>participativnost, uz strateško planiranje,  jedno od ključnih načel</w:t>
      </w:r>
      <w:r w:rsidR="0039141B">
        <w:rPr>
          <w:rFonts w:cstheme="minorHAnsi"/>
          <w:bCs/>
        </w:rPr>
        <w:t>a</w:t>
      </w:r>
      <w:r w:rsidRPr="00541075">
        <w:rPr>
          <w:rFonts w:cstheme="minorHAnsi"/>
          <w:bCs/>
        </w:rPr>
        <w:t xml:space="preserve"> kohezijske politike EU</w:t>
      </w:r>
      <w:r w:rsidR="0039141B">
        <w:rPr>
          <w:rFonts w:cstheme="minorHAnsi"/>
          <w:bCs/>
        </w:rPr>
        <w:t>-a</w:t>
      </w:r>
      <w:r w:rsidRPr="00541075">
        <w:rPr>
          <w:rFonts w:cstheme="minorHAnsi"/>
          <w:bCs/>
        </w:rPr>
        <w:t xml:space="preserve">, već iz razloga što je snažno partnerstvo koje je poželjno razviti tijekom procesa izrade Strategije presudno za njenu učinkovitu provedbu tj.  za postizanje održivih i relevantnih učinaka. Kvalitetan proces konzultacija s ključnim dionicima, a koji podrazumijeva i učinkovitu koordinaciju, osnažuje osjećaj odgovornosti i „vlasništva“ u odnosu na izrađenu Strategiju te je </w:t>
      </w:r>
      <w:r w:rsidRPr="00582BA3">
        <w:rPr>
          <w:rFonts w:cstheme="minorHAnsi"/>
          <w:bCs/>
        </w:rPr>
        <w:t>temeljem uspostavljenog svrsishodnog partnerstva, uključujući u prvom redu ono među</w:t>
      </w:r>
      <w:r w:rsidR="00257995">
        <w:rPr>
          <w:rFonts w:cstheme="minorHAnsi"/>
          <w:bCs/>
        </w:rPr>
        <w:t>resorno</w:t>
      </w:r>
      <w:r w:rsidRPr="00582BA3">
        <w:rPr>
          <w:rFonts w:cstheme="minorHAnsi"/>
          <w:bCs/>
        </w:rPr>
        <w:t xml:space="preserve">, u ovoj fazi moguće pretpostaviti da će biti moguće ostvariti strateške ciljeve i učinke planirane Strategijom. Do sada primijenjen, participativan proces u tom je smislu bitan </w:t>
      </w:r>
      <w:r w:rsidR="0039141B">
        <w:rPr>
          <w:rFonts w:cstheme="minorHAnsi"/>
          <w:bCs/>
        </w:rPr>
        <w:t>čimbenik</w:t>
      </w:r>
      <w:r w:rsidRPr="00582BA3">
        <w:rPr>
          <w:rFonts w:cstheme="minorHAnsi"/>
          <w:bCs/>
        </w:rPr>
        <w:t xml:space="preserve"> ostvarenja  strateških ciljeva i izdvojenih prioriteta Strategije.</w:t>
      </w:r>
      <w:r w:rsidRPr="00541075">
        <w:rPr>
          <w:rFonts w:cstheme="minorHAnsi"/>
          <w:bCs/>
        </w:rPr>
        <w:t xml:space="preserve"> </w:t>
      </w:r>
    </w:p>
    <w:p w14:paraId="59763EBE" w14:textId="61369E58" w:rsidR="003D2FF8" w:rsidRDefault="00B33555" w:rsidP="003D2FF8">
      <w:pPr>
        <w:spacing w:line="276" w:lineRule="auto"/>
        <w:jc w:val="both"/>
      </w:pPr>
      <w:r>
        <w:t>Primjena i</w:t>
      </w:r>
      <w:r w:rsidRPr="00541075">
        <w:t>ntegriran</w:t>
      </w:r>
      <w:r>
        <w:t xml:space="preserve">og, </w:t>
      </w:r>
      <w:r w:rsidRPr="00541075">
        <w:t>multisektorsk</w:t>
      </w:r>
      <w:r>
        <w:t>og</w:t>
      </w:r>
      <w:r w:rsidRPr="00541075">
        <w:t xml:space="preserve"> pristup</w:t>
      </w:r>
      <w:r>
        <w:t>a</w:t>
      </w:r>
      <w:r w:rsidRPr="00541075">
        <w:t xml:space="preserve"> razvoju biogospodarstva u Republici Hrvatskoj podrazumijeva </w:t>
      </w:r>
      <w:r w:rsidR="0039141B">
        <w:t>izravnu</w:t>
      </w:r>
      <w:r w:rsidR="0039141B" w:rsidRPr="00541075">
        <w:t xml:space="preserve"> </w:t>
      </w:r>
      <w:r w:rsidRPr="00541075">
        <w:t>i kontinuiranu suradnju Ministarstva poljoprivrede, Ministarstva gospodarstva i održivog razvoja, Ministarstva znanosti i obrazovanja te Ministarstva regionalnoga razvoja i fondova EU.</w:t>
      </w:r>
      <w:r>
        <w:t xml:space="preserve"> Ova je suradnja bila vidljiva tijekom procesa izrade </w:t>
      </w:r>
      <w:r w:rsidR="005B5D10" w:rsidRPr="00B87D94">
        <w:rPr>
          <w:rFonts w:cstheme="minorHAnsi"/>
        </w:rPr>
        <w:t>Nacrta</w:t>
      </w:r>
      <w:r w:rsidR="005B5D10" w:rsidRPr="00154905">
        <w:rPr>
          <w:rFonts w:cstheme="minorHAnsi"/>
        </w:rPr>
        <w:t xml:space="preserve"> </w:t>
      </w:r>
      <w:r>
        <w:t xml:space="preserve">Strategije te je istaknuta i u Poglavlju </w:t>
      </w:r>
      <w:r w:rsidR="00E81A04">
        <w:t>8</w:t>
      </w:r>
      <w:r>
        <w:t xml:space="preserve">. </w:t>
      </w:r>
      <w:r w:rsidRPr="00C94B41">
        <w:rPr>
          <w:i/>
        </w:rPr>
        <w:t>(</w:t>
      </w:r>
      <w:r w:rsidRPr="00C94B41">
        <w:rPr>
          <w:rFonts w:eastAsia="Times New Roman"/>
          <w:i/>
        </w:rPr>
        <w:t>Partnerstvo u pripremi i provedbi strategije biogospodarstva</w:t>
      </w:r>
      <w:r>
        <w:rPr>
          <w:rFonts w:eastAsia="Times New Roman"/>
        </w:rPr>
        <w:t>) u kojemu je navedeno da su uz Ministarstvo poljoprivrede, u čijoj je nadležnosti koordinacija Strategije, u S</w:t>
      </w:r>
      <w:r w:rsidRPr="00541075">
        <w:t>tručnu radnu skupinu i javno savjetovanje u izradu Strategije bila uključena i druga tijela državne uprave, lokalna i područna (regionalna) samouprava, znanstvene i istraživačke institucije, nevladine organizacije, privatni sektor i drugi zainteresirani dionici.</w:t>
      </w:r>
      <w:r w:rsidR="003D2FF8" w:rsidRPr="003D2FF8">
        <w:t xml:space="preserve"> </w:t>
      </w:r>
      <w:r w:rsidR="005B5D10" w:rsidRPr="00B87D94">
        <w:rPr>
          <w:rFonts w:cstheme="minorHAnsi"/>
        </w:rPr>
        <w:t>Nacrt</w:t>
      </w:r>
      <w:r w:rsidR="005B5D10">
        <w:rPr>
          <w:rFonts w:cstheme="minorHAnsi"/>
        </w:rPr>
        <w:t xml:space="preserve"> </w:t>
      </w:r>
      <w:r w:rsidR="003D2FF8" w:rsidRPr="00E81A04">
        <w:t>Strategij</w:t>
      </w:r>
      <w:r w:rsidR="005B5D10">
        <w:t>e</w:t>
      </w:r>
      <w:r w:rsidR="003D2FF8" w:rsidRPr="00E81A04">
        <w:t xml:space="preserve"> </w:t>
      </w:r>
      <w:r w:rsidR="003D2FF8">
        <w:t xml:space="preserve">je </w:t>
      </w:r>
      <w:r w:rsidR="003D2FF8" w:rsidRPr="00E81A04">
        <w:t>izrađen zahvaljujući angažmanu i doprinosu 47 stručnjaka, članova Stručne radne skupine osnovane u listopadu 2022. godine i njihovih imenovanih zamjenika. Uz resorna ministarstva</w:t>
      </w:r>
      <w:r w:rsidR="00856736">
        <w:t>,</w:t>
      </w:r>
      <w:r w:rsidR="003D2FF8" w:rsidRPr="00E81A04">
        <w:t xml:space="preserve"> u rad Skupine bili su uključeni članovi iz Hrvatske zajednice županija, Hrvatske zajednice općina, Udruge gradova, nekoliko agencija, komora, znanstvenih instituta i visokoškolskih obrazovnih ustanova i nekoliko poduzeća.   Stručna radna skupina je kroz 5 </w:t>
      </w:r>
      <w:r w:rsidR="003D2FF8">
        <w:t xml:space="preserve">regionalnih radionica </w:t>
      </w:r>
      <w:r w:rsidR="003D2FF8" w:rsidRPr="00E81A04">
        <w:t xml:space="preserve"> do konca travnja 2023. godine izradila i usvojila nacrt Strategije razvoja biogospodarstva do 2035. godine te je taj nacrt podijeljen s ostalom zainteresiranom javnosti na javnoj raspravi zaključno s koncem siječnja 2024. godine.</w:t>
      </w:r>
      <w:r w:rsidR="003D2FF8">
        <w:t xml:space="preserve">   </w:t>
      </w:r>
    </w:p>
    <w:p w14:paraId="67AD8D12" w14:textId="0DC0352C" w:rsidR="00B33555" w:rsidRPr="003E7012" w:rsidRDefault="00B33555" w:rsidP="00B33555">
      <w:pPr>
        <w:jc w:val="both"/>
      </w:pPr>
      <w:r>
        <w:lastRenderedPageBreak/>
        <w:t xml:space="preserve">S obzirom da </w:t>
      </w:r>
      <w:r w:rsidR="00856736">
        <w:t xml:space="preserve">je riječ </w:t>
      </w:r>
      <w:r>
        <w:t xml:space="preserve">o relativno novijoj razvojnoj temi/sektoru, a čija važnost je svakim danom sve i naglašenija u EU i globalnim okvirima, ovakve aktivnosti imaju dalekosežan značaj, pogotovo u manje razvijenim područjima Republike Hrvatske u kojima nema dovoljno saznanja o značaju i razvojnom potencijalu biogospodarstva . </w:t>
      </w:r>
      <w:r w:rsidRPr="003E7012">
        <w:t xml:space="preserve"> </w:t>
      </w:r>
    </w:p>
    <w:p w14:paraId="0809EC92" w14:textId="1D4A4912" w:rsidR="00B33555" w:rsidRPr="0042150B" w:rsidRDefault="006466DA" w:rsidP="00B33555">
      <w:pPr>
        <w:spacing w:after="200" w:line="276" w:lineRule="auto"/>
        <w:jc w:val="both"/>
        <w:rPr>
          <w:rFonts w:cstheme="minorHAnsi"/>
          <w:bCs/>
          <w:i/>
        </w:rPr>
      </w:pPr>
      <w:r>
        <w:t>S ciljem</w:t>
      </w:r>
      <w:r w:rsidR="00B33555" w:rsidRPr="0042150B">
        <w:t xml:space="preserve"> što djelotvornije provedbe Strategije te s ciljem osnaživanja koordinacije spomenutih javnih razvojnih politika povezanih s biogospodarstvom</w:t>
      </w:r>
      <w:r w:rsidR="00B33555" w:rsidRPr="0042150B">
        <w:rPr>
          <w:rFonts w:cstheme="minorHAnsi"/>
          <w:bCs/>
          <w:i/>
        </w:rPr>
        <w:t xml:space="preserve"> </w:t>
      </w:r>
      <w:r w:rsidR="00B33555" w:rsidRPr="0042150B">
        <w:t xml:space="preserve">predviđeno je i osnivanje </w:t>
      </w:r>
      <w:bookmarkStart w:id="3" w:name="_Hlk155869772"/>
      <w:r w:rsidR="00257995" w:rsidRPr="0042150B">
        <w:t>Koordinacijskog</w:t>
      </w:r>
      <w:r w:rsidR="00B33555" w:rsidRPr="0042150B">
        <w:t xml:space="preserve"> tijel</w:t>
      </w:r>
      <w:bookmarkEnd w:id="3"/>
      <w:r w:rsidR="00B33555" w:rsidRPr="0042150B">
        <w:t xml:space="preserve">a sastavljenog od tijela državne uprave nadležnih za pojedine segmente biogospodarstva, koje će surađivati sa strukovnim organizacijama, znanstvenom i istraživačkom zajednicom, lokalnom i područnom (regionalnom) samoupravom te nevladinim organizacijama. S obzirom da je djelotvorna koordinacija od presudnog značaja za kvalitetnu provedbu Strategije, ova je inicijativa vrlo značajna.  </w:t>
      </w:r>
    </w:p>
    <w:p w14:paraId="7FC54845" w14:textId="5948FE12" w:rsidR="00B33555" w:rsidRPr="00BC2C02" w:rsidRDefault="00B33555" w:rsidP="00B33555">
      <w:pPr>
        <w:spacing w:after="200" w:line="276" w:lineRule="auto"/>
        <w:jc w:val="both"/>
        <w:rPr>
          <w:rFonts w:eastAsia="Calibri" w:cstheme="minorHAnsi"/>
          <w:i/>
        </w:rPr>
      </w:pPr>
      <w:r w:rsidRPr="0042150B">
        <w:rPr>
          <w:rFonts w:cstheme="minorHAnsi"/>
          <w:bCs/>
        </w:rPr>
        <w:t>Treba</w:t>
      </w:r>
      <w:r w:rsidR="00856736">
        <w:rPr>
          <w:rFonts w:cstheme="minorHAnsi"/>
          <w:bCs/>
        </w:rPr>
        <w:t>,</w:t>
      </w:r>
      <w:r w:rsidRPr="0042150B">
        <w:rPr>
          <w:rFonts w:cstheme="minorHAnsi"/>
          <w:bCs/>
        </w:rPr>
        <w:t xml:space="preserve"> međutim naglasiti</w:t>
      </w:r>
      <w:r w:rsidR="00856736">
        <w:rPr>
          <w:rFonts w:cstheme="minorHAnsi"/>
          <w:bCs/>
        </w:rPr>
        <w:t>,</w:t>
      </w:r>
      <w:r w:rsidRPr="0042150B">
        <w:rPr>
          <w:rFonts w:cstheme="minorHAnsi"/>
          <w:bCs/>
        </w:rPr>
        <w:t xml:space="preserve"> da će </w:t>
      </w:r>
      <w:r w:rsidRPr="0042150B">
        <w:rPr>
          <w:rFonts w:eastAsia="Calibri" w:cstheme="minorHAnsi"/>
        </w:rPr>
        <w:t xml:space="preserve">za djelotvornu provedbu Strategije, </w:t>
      </w:r>
      <w:r w:rsidRPr="0042150B">
        <w:rPr>
          <w:rFonts w:cstheme="minorHAnsi"/>
          <w:bCs/>
        </w:rPr>
        <w:t xml:space="preserve">uz spomenutu ključnu međuresornu suradnju </w:t>
      </w:r>
      <w:r w:rsidRPr="0042150B">
        <w:rPr>
          <w:rFonts w:eastAsia="Calibri" w:cstheme="minorHAnsi"/>
        </w:rPr>
        <w:t xml:space="preserve">presudna biti i kontinuirana bliska suradnja sa županijama, gradovima i općinama, kao i suradnja sa stručnjacima i znanstvenom zajednicom iz različitih </w:t>
      </w:r>
      <w:r w:rsidRPr="00825B29">
        <w:rPr>
          <w:rFonts w:eastAsia="Calibri" w:cstheme="minorHAnsi"/>
        </w:rPr>
        <w:t>područja. U uvjetima djelotvorno koordinirane horizontalne i vertikalne suradnje biti će moguće sustavno razvijati biogospodarstv</w:t>
      </w:r>
      <w:r w:rsidR="00257995" w:rsidRPr="00825B29">
        <w:rPr>
          <w:rFonts w:eastAsia="Calibri" w:cstheme="minorHAnsi"/>
        </w:rPr>
        <w:t>o</w:t>
      </w:r>
      <w:r w:rsidRPr="00825B29">
        <w:rPr>
          <w:rFonts w:eastAsia="Calibri" w:cstheme="minorHAnsi"/>
        </w:rPr>
        <w:t xml:space="preserve"> u Hrvatskoj koj</w:t>
      </w:r>
      <w:r w:rsidR="00257995" w:rsidRPr="00825B29">
        <w:rPr>
          <w:rFonts w:eastAsia="Calibri" w:cstheme="minorHAnsi"/>
        </w:rPr>
        <w:t>e</w:t>
      </w:r>
      <w:r w:rsidRPr="00825B29">
        <w:rPr>
          <w:rFonts w:eastAsia="Calibri" w:cstheme="minorHAnsi"/>
        </w:rPr>
        <w:t xml:space="preserve"> će pridonijeti gospodarskoj konkurentnosti </w:t>
      </w:r>
      <w:r w:rsidRPr="00BC2C02">
        <w:rPr>
          <w:rFonts w:eastAsia="Calibri" w:cstheme="minorHAnsi"/>
        </w:rPr>
        <w:t>zasnovanoj na</w:t>
      </w:r>
      <w:r w:rsidR="00257995" w:rsidRPr="00BC2C02">
        <w:rPr>
          <w:rFonts w:eastAsia="Calibri" w:cstheme="minorHAnsi"/>
        </w:rPr>
        <w:t xml:space="preserve"> raspoloživim prirodnim resursima, </w:t>
      </w:r>
      <w:r w:rsidRPr="00BC2C02">
        <w:rPr>
          <w:rFonts w:eastAsia="Calibri" w:cstheme="minorHAnsi"/>
        </w:rPr>
        <w:t xml:space="preserve">najnovijim znanstveno tehnološkim inovacijama iz ovog područja, te koji će ujedno dati doprinos održivom i ravnomjernijem regionalnom razvoju </w:t>
      </w:r>
      <w:r w:rsidR="00D61AC3">
        <w:rPr>
          <w:rFonts w:eastAsia="Calibri" w:cstheme="minorHAnsi"/>
        </w:rPr>
        <w:t xml:space="preserve">Republike </w:t>
      </w:r>
      <w:r w:rsidRPr="00BC2C02">
        <w:rPr>
          <w:rFonts w:eastAsia="Calibri" w:cstheme="minorHAnsi"/>
        </w:rPr>
        <w:t>Hrvatske</w:t>
      </w:r>
      <w:r w:rsidRPr="00BC2C02">
        <w:rPr>
          <w:rFonts w:eastAsia="Calibri" w:cstheme="minorHAnsi"/>
          <w:i/>
        </w:rPr>
        <w:t xml:space="preserve">. </w:t>
      </w:r>
    </w:p>
    <w:p w14:paraId="4E7277DA" w14:textId="076576DB" w:rsidR="00B33555" w:rsidRPr="0047683B" w:rsidRDefault="00B33555" w:rsidP="00B33555">
      <w:pPr>
        <w:spacing w:after="200" w:line="276" w:lineRule="auto"/>
        <w:jc w:val="both"/>
        <w:rPr>
          <w:rFonts w:cstheme="minorHAnsi"/>
          <w:bCs/>
        </w:rPr>
      </w:pPr>
      <w:r w:rsidRPr="00BC2C02">
        <w:rPr>
          <w:rFonts w:cstheme="minorHAnsi"/>
          <w:bCs/>
        </w:rPr>
        <w:t xml:space="preserve">Uslijed važnosti načela participativnosti prilikom formuliranja Nacrta Strategije,  Izrađivaču je sugerirano u oba prethodna izvješća vrednovanja te tijekom održanih rasprava i neformalne komunikacije da se  </w:t>
      </w:r>
      <w:r w:rsidRPr="0047683B">
        <w:rPr>
          <w:rFonts w:cstheme="minorHAnsi"/>
          <w:bCs/>
        </w:rPr>
        <w:t>Poglavlje 8. (Partnerstvo u pripremi i provedbi strategije biogospodarstva) detaljnije razradi i osnaži dodatnim informacijama o ovom procesu, što je u konačnoj verziji i postignuto</w:t>
      </w:r>
      <w:r w:rsidR="00A962D2" w:rsidRPr="0047683B">
        <w:rPr>
          <w:rFonts w:cstheme="minorHAnsi"/>
          <w:bCs/>
        </w:rPr>
        <w:t>,</w:t>
      </w:r>
      <w:r w:rsidR="006466DA" w:rsidRPr="0047683B">
        <w:rPr>
          <w:rFonts w:cstheme="minorHAnsi"/>
          <w:bCs/>
        </w:rPr>
        <w:t xml:space="preserve"> te je vidljivo da su svi ključni dionici bili uključeni u proces izrade </w:t>
      </w:r>
      <w:r w:rsidR="005B5D10" w:rsidRPr="0047683B">
        <w:rPr>
          <w:rFonts w:cstheme="minorHAnsi"/>
        </w:rPr>
        <w:t xml:space="preserve">Nacrta </w:t>
      </w:r>
      <w:r w:rsidR="006466DA" w:rsidRPr="0047683B">
        <w:rPr>
          <w:rFonts w:cstheme="minorHAnsi"/>
          <w:bCs/>
        </w:rPr>
        <w:t xml:space="preserve">Strategije. </w:t>
      </w:r>
    </w:p>
    <w:p w14:paraId="635D0BC6" w14:textId="41767F7E" w:rsidR="000C3FDE" w:rsidRPr="0047683B" w:rsidRDefault="00B33555" w:rsidP="000C3FDE">
      <w:pPr>
        <w:spacing w:after="200" w:line="276" w:lineRule="auto"/>
        <w:jc w:val="both"/>
        <w:rPr>
          <w:rFonts w:cstheme="minorHAnsi"/>
          <w:bCs/>
        </w:rPr>
      </w:pPr>
      <w:bookmarkStart w:id="4" w:name="_Hlk157770515"/>
      <w:r w:rsidRPr="0047683B">
        <w:rPr>
          <w:rFonts w:cstheme="minorHAnsi"/>
          <w:bCs/>
        </w:rPr>
        <w:t>Vezano za pokazatelje,</w:t>
      </w:r>
      <w:r w:rsidR="000C3FDE" w:rsidRPr="0047683B">
        <w:rPr>
          <w:rFonts w:cstheme="minorHAnsi"/>
          <w:bCs/>
        </w:rPr>
        <w:t xml:space="preserve"> pokazatelji koje je predložila Stručna radne skupina i izrađivač </w:t>
      </w:r>
      <w:r w:rsidR="000C3FDE" w:rsidRPr="0047683B">
        <w:rPr>
          <w:rFonts w:cstheme="minorHAnsi"/>
          <w:bCs/>
          <w:i/>
        </w:rPr>
        <w:t>Godišnje izvješće o napretku biogospodarstva i Uspostava distribucijskih centara za biomasu</w:t>
      </w:r>
      <w:r w:rsidR="00F67F16" w:rsidRPr="0047683B">
        <w:rPr>
          <w:rFonts w:cstheme="minorHAnsi"/>
          <w:bCs/>
          <w:i/>
        </w:rPr>
        <w:t xml:space="preserve"> u</w:t>
      </w:r>
      <w:r w:rsidR="000C3FDE" w:rsidRPr="0047683B">
        <w:rPr>
          <w:rFonts w:cstheme="minorHAnsi"/>
          <w:bCs/>
        </w:rPr>
        <w:t xml:space="preserve">  svojoj suštini nisu pokazatelji učinka nego više pokazatelji rezultata te, njima, po mišljenju tima za vrednovanje, neće biti  moguće pratiti provedbu Strategije. </w:t>
      </w:r>
    </w:p>
    <w:p w14:paraId="2D339BE0" w14:textId="33A50D9A" w:rsidR="00B33555" w:rsidRPr="000C3FDE" w:rsidRDefault="000C3FDE" w:rsidP="000C3FDE">
      <w:pPr>
        <w:spacing w:after="200" w:line="276" w:lineRule="auto"/>
        <w:jc w:val="both"/>
        <w:rPr>
          <w:rFonts w:cstheme="minorHAnsi"/>
          <w:bCs/>
          <w:color w:val="FF0000"/>
          <w:sz w:val="28"/>
          <w:szCs w:val="28"/>
        </w:rPr>
      </w:pPr>
      <w:r w:rsidRPr="0047683B">
        <w:rPr>
          <w:rFonts w:cstheme="minorHAnsi"/>
          <w:bCs/>
        </w:rPr>
        <w:t xml:space="preserve">Predložene pokazatelje </w:t>
      </w:r>
      <w:r w:rsidRPr="0047683B">
        <w:rPr>
          <w:rFonts w:cstheme="minorHAnsi"/>
          <w:bCs/>
          <w:i/>
        </w:rPr>
        <w:t>Dodana vrijednost biogospodarstva i Dodana vrijednost po zaposlenom u biogospodarstvu</w:t>
      </w:r>
      <w:r w:rsidRPr="0047683B">
        <w:rPr>
          <w:rFonts w:cstheme="minorHAnsi"/>
          <w:bCs/>
        </w:rPr>
        <w:t xml:space="preserve"> treba provjeriti dodatno sa MRRFEU  te zatražiti njihovo uključivanje u Biblioteku pokazatelja. Na taj način o</w:t>
      </w:r>
      <w:r w:rsidR="00F67F16" w:rsidRPr="0047683B">
        <w:rPr>
          <w:rFonts w:cstheme="minorHAnsi"/>
          <w:bCs/>
        </w:rPr>
        <w:t>ni</w:t>
      </w:r>
      <w:r w:rsidRPr="0047683B">
        <w:rPr>
          <w:rFonts w:cstheme="minorHAnsi"/>
          <w:bCs/>
        </w:rPr>
        <w:t xml:space="preserve"> bi osigurali </w:t>
      </w:r>
      <w:r w:rsidR="00B33555" w:rsidRPr="0047683B">
        <w:rPr>
          <w:rFonts w:cstheme="minorHAnsi"/>
          <w:bCs/>
        </w:rPr>
        <w:t xml:space="preserve">kontinuirano praćenje </w:t>
      </w:r>
      <w:r w:rsidR="009679A1" w:rsidRPr="0047683B">
        <w:rPr>
          <w:rFonts w:cstheme="minorHAnsi"/>
          <w:bCs/>
        </w:rPr>
        <w:t>učinaka poredbe strateških ciljeva na nacionalnoj razini</w:t>
      </w:r>
      <w:r w:rsidRPr="0047683B">
        <w:rPr>
          <w:rFonts w:cstheme="minorHAnsi"/>
          <w:bCs/>
        </w:rPr>
        <w:t>.</w:t>
      </w:r>
    </w:p>
    <w:bookmarkEnd w:id="4"/>
    <w:p w14:paraId="37804519" w14:textId="77777777" w:rsidR="00825B29" w:rsidRPr="000C3FDE" w:rsidRDefault="00825B29" w:rsidP="00B33555">
      <w:pPr>
        <w:spacing w:before="100" w:beforeAutospacing="1" w:after="100" w:afterAutospacing="1"/>
        <w:rPr>
          <w:rFonts w:asciiTheme="majorHAnsi" w:hAnsiTheme="majorHAnsi" w:cstheme="majorHAnsi"/>
          <w:b/>
          <w:bCs/>
          <w:color w:val="2F5496" w:themeColor="accent5" w:themeShade="BF"/>
          <w:sz w:val="28"/>
          <w:szCs w:val="28"/>
        </w:rPr>
      </w:pPr>
    </w:p>
    <w:p w14:paraId="192C9426" w14:textId="2C22360C" w:rsidR="00B33555" w:rsidRPr="00224015" w:rsidRDefault="00B33555" w:rsidP="00B33555">
      <w:pPr>
        <w:spacing w:before="100" w:beforeAutospacing="1" w:after="100" w:afterAutospacing="1"/>
        <w:rPr>
          <w:rFonts w:asciiTheme="majorHAnsi" w:hAnsiTheme="majorHAnsi" w:cstheme="majorHAnsi"/>
          <w:b/>
          <w:color w:val="0070C0"/>
          <w:sz w:val="28"/>
          <w:szCs w:val="28"/>
        </w:rPr>
      </w:pPr>
      <w:r w:rsidRPr="00224015">
        <w:rPr>
          <w:rFonts w:asciiTheme="majorHAnsi" w:hAnsiTheme="majorHAnsi" w:cstheme="majorHAnsi"/>
          <w:b/>
          <w:bCs/>
          <w:color w:val="0070C0"/>
          <w:sz w:val="28"/>
          <w:szCs w:val="28"/>
        </w:rPr>
        <w:t xml:space="preserve">Kriterij djelotvornosti/efikasnosti </w:t>
      </w:r>
    </w:p>
    <w:p w14:paraId="5E3C36B1" w14:textId="77777777" w:rsidR="00B33555" w:rsidRPr="00224015" w:rsidRDefault="00B33555" w:rsidP="006E594B">
      <w:pPr>
        <w:spacing w:before="100" w:beforeAutospacing="1" w:after="100" w:afterAutospacing="1"/>
        <w:jc w:val="both"/>
        <w:rPr>
          <w:rFonts w:cstheme="minorHAnsi"/>
          <w:b/>
          <w:color w:val="0070C0"/>
        </w:rPr>
      </w:pPr>
      <w:r w:rsidRPr="00224015">
        <w:rPr>
          <w:rFonts w:cstheme="minorHAnsi"/>
          <w:b/>
          <w:bCs/>
          <w:color w:val="0070C0"/>
          <w:u w:val="single"/>
        </w:rPr>
        <w:t>Evaluacijsko pitanje 6.</w:t>
      </w:r>
      <w:r w:rsidRPr="00224015">
        <w:rPr>
          <w:rFonts w:cstheme="minorHAnsi"/>
          <w:b/>
          <w:bCs/>
          <w:color w:val="0070C0"/>
        </w:rPr>
        <w:t xml:space="preserve">: </w:t>
      </w:r>
      <w:r w:rsidRPr="00224015">
        <w:rPr>
          <w:rFonts w:cstheme="minorHAnsi"/>
          <w:b/>
          <w:color w:val="0070C0"/>
        </w:rPr>
        <w:t>Jesu li financijski, institucionalni i ljudski resursi predviđeni za provedbu Strategije jasno identificirani i dovoljni za provedbu? (je li  institucionalni sustav za provedbu Strategije  kvalitetno osposobljen i adekvatan?)</w:t>
      </w:r>
    </w:p>
    <w:p w14:paraId="470B09AE" w14:textId="3A42DCB1" w:rsidR="00B33555" w:rsidRPr="0042150B" w:rsidRDefault="00B33555" w:rsidP="00B33555">
      <w:pPr>
        <w:spacing w:after="200" w:line="276" w:lineRule="auto"/>
        <w:jc w:val="both"/>
        <w:rPr>
          <w:rFonts w:cstheme="minorHAnsi"/>
          <w:i/>
        </w:rPr>
      </w:pPr>
      <w:r w:rsidRPr="0042150B">
        <w:rPr>
          <w:rFonts w:cstheme="minorHAnsi"/>
        </w:rPr>
        <w:lastRenderedPageBreak/>
        <w:t>Tijekom postupka prethodnog vrednovanja važno je dati načelnu prosudbu vezano za raspoloživost financijskih, institucionalnih i ljudskih resursa potrebnih za provedbu strateškog dokumenta. Načelnu osnovu za ovu prosudbu moguće je dati temeljem obrazloženog u Poglavlju 7. Strategije (</w:t>
      </w:r>
      <w:r w:rsidRPr="0042150B">
        <w:rPr>
          <w:rFonts w:cstheme="minorHAnsi"/>
          <w:i/>
        </w:rPr>
        <w:t>Mogućnosti financiranja),</w:t>
      </w:r>
      <w:r w:rsidRPr="0042150B">
        <w:rPr>
          <w:rFonts w:cstheme="minorHAnsi"/>
        </w:rPr>
        <w:t xml:space="preserve"> te u Dodatku 2. </w:t>
      </w:r>
      <w:r w:rsidRPr="0042150B">
        <w:rPr>
          <w:rFonts w:cstheme="minorHAnsi"/>
          <w:i/>
        </w:rPr>
        <w:t>(Mogućnosti financiranja projekata u biogospodarstvu u programskom razdoblju do 2027. godine).</w:t>
      </w:r>
    </w:p>
    <w:p w14:paraId="0D7F28D6" w14:textId="32193E47" w:rsidR="00B33555" w:rsidRPr="0042150B" w:rsidRDefault="00B33555" w:rsidP="00B33555">
      <w:pPr>
        <w:spacing w:line="276" w:lineRule="auto"/>
        <w:jc w:val="both"/>
        <w:rPr>
          <w:rFonts w:eastAsia="Calibri" w:cs="Times New Roman"/>
        </w:rPr>
      </w:pPr>
      <w:r w:rsidRPr="0042150B">
        <w:rPr>
          <w:rFonts w:eastAsia="Calibri" w:cs="Times New Roman"/>
        </w:rPr>
        <w:t xml:space="preserve">U poglavlju </w:t>
      </w:r>
      <w:r w:rsidR="00A962D2">
        <w:rPr>
          <w:rFonts w:eastAsia="Calibri" w:cs="Times New Roman"/>
        </w:rPr>
        <w:t xml:space="preserve">je prikazan </w:t>
      </w:r>
      <w:r w:rsidRPr="0042150B">
        <w:rPr>
          <w:rFonts w:eastAsia="Calibri" w:cs="Times New Roman"/>
        </w:rPr>
        <w:t>pregled mogućih izvora financiranja u razdoblju do 2027. godine, za koje su pripremljeni planski dokumenti za korištenje sredstava EU fondova. Vidljivo je da će se ostvarenje strateških ciljeva podupirat</w:t>
      </w:r>
      <w:r w:rsidR="001F6487">
        <w:rPr>
          <w:rFonts w:eastAsia="Calibri" w:cs="Times New Roman"/>
        </w:rPr>
        <w:t>i</w:t>
      </w:r>
      <w:r w:rsidRPr="0042150B">
        <w:rPr>
          <w:rFonts w:eastAsia="Calibri" w:cs="Times New Roman"/>
        </w:rPr>
        <w:t xml:space="preserve"> prvenstveno iz EU financiranih programa, uz sufinanciranje iz Državnog proračuna. U ovom trenutku nije moguće dati podatke o financiranju za cijelo razdoblje provedbe </w:t>
      </w:r>
      <w:r w:rsidRPr="0042150B">
        <w:rPr>
          <w:rFonts w:eastAsia="Calibri" w:cs="Times New Roman"/>
          <w:i/>
        </w:rPr>
        <w:t>Strategije</w:t>
      </w:r>
      <w:r w:rsidRPr="0042150B">
        <w:rPr>
          <w:rFonts w:eastAsia="Calibri" w:cs="Times New Roman"/>
        </w:rPr>
        <w:t>, odnosno za naredno programsko razdoblje (2028.-2035</w:t>
      </w:r>
      <w:r w:rsidR="006C3C43">
        <w:rPr>
          <w:rFonts w:eastAsia="Calibri" w:cs="Times New Roman"/>
        </w:rPr>
        <w:t>.</w:t>
      </w:r>
      <w:r w:rsidRPr="0042150B">
        <w:rPr>
          <w:rFonts w:eastAsia="Calibri" w:cs="Times New Roman"/>
        </w:rPr>
        <w:t>). Međutim, izvjesno je da će u prvoj fazi realizacije Strategije sredstva biti dostupna s obzirom da su projekti iz područja biogospodarstva prvenstveno prihvatljivi za potpore iz Europskog fonda za regionalni razvoj, Kohezijskog fonda, Europskog poljoprivrednog fonda za ruralni razvoj</w:t>
      </w:r>
      <w:r w:rsidR="006466DA">
        <w:rPr>
          <w:rFonts w:eastAsia="Calibri" w:cs="Times New Roman"/>
        </w:rPr>
        <w:t xml:space="preserve">, iz </w:t>
      </w:r>
      <w:r w:rsidRPr="0042150B">
        <w:rPr>
          <w:rFonts w:eastAsia="Calibri" w:cs="Times New Roman"/>
        </w:rPr>
        <w:t>Modernizacijskog fonda te iz nacionalnih sredstava (iz Fonda za zaštitu okoliša i energetsku učinkovitost).</w:t>
      </w:r>
      <w:r w:rsidRPr="0042150B">
        <w:rPr>
          <w:rFonts w:eastAsia="Calibri" w:cs="Times New Roman"/>
          <w:color w:val="385623"/>
        </w:rPr>
        <w:t xml:space="preserve"> </w:t>
      </w:r>
    </w:p>
    <w:p w14:paraId="624E5E4D" w14:textId="77777777" w:rsidR="00B33555" w:rsidRPr="0042150B" w:rsidRDefault="00B33555" w:rsidP="00B33555">
      <w:pPr>
        <w:spacing w:after="0" w:line="276" w:lineRule="auto"/>
        <w:jc w:val="both"/>
        <w:rPr>
          <w:rFonts w:eastAsia="Calibri" w:cs="Times New Roman"/>
        </w:rPr>
      </w:pPr>
      <w:r w:rsidRPr="0042150B">
        <w:rPr>
          <w:rFonts w:eastAsia="Calibri" w:cs="Times New Roman"/>
        </w:rPr>
        <w:t xml:space="preserve">Primjerice, </w:t>
      </w:r>
      <w:r w:rsidRPr="006466DA">
        <w:rPr>
          <w:rFonts w:eastAsia="Calibri" w:cs="Times New Roman"/>
          <w:b/>
          <w:i/>
        </w:rPr>
        <w:t>Program konkurentnost i kohezija 2021. – 2027</w:t>
      </w:r>
      <w:r w:rsidRPr="0042150B">
        <w:rPr>
          <w:rFonts w:eastAsia="Calibri" w:cs="Times New Roman"/>
        </w:rPr>
        <w:t xml:space="preserve">. sadrži sljedeća 3  specifična  cilja unutar kojih se mogu financirati projekti biogospodarstva: (i) </w:t>
      </w:r>
      <w:r w:rsidRPr="0042150B">
        <w:rPr>
          <w:rFonts w:eastAsia="Calibri" w:cs="Times New Roman"/>
          <w:u w:val="single"/>
        </w:rPr>
        <w:t>specifični cilj RSO1.1.</w:t>
      </w:r>
      <w:r w:rsidRPr="0042150B">
        <w:rPr>
          <w:rFonts w:eastAsia="Calibri" w:cs="Times New Roman"/>
        </w:rPr>
        <w:t xml:space="preserve"> </w:t>
      </w:r>
      <w:r w:rsidRPr="0042150B">
        <w:rPr>
          <w:rFonts w:eastAsia="Calibri" w:cs="Times New Roman"/>
          <w:u w:val="single"/>
        </w:rPr>
        <w:t>Razvoj i jačanje istraživačkih i inovacijskih kapaciteta te prihvaćanje naprednih tehnologija:</w:t>
      </w:r>
      <w:r w:rsidRPr="0042150B">
        <w:rPr>
          <w:rFonts w:eastAsia="Calibri" w:cs="Times New Roman"/>
        </w:rPr>
        <w:t xml:space="preserve"> ukupna sredstva planirana unutar specifičnog cilja za razdoblje 2021.-2027. iznose 631 milijun eura: (ii) specifični cilj RSO1.3. </w:t>
      </w:r>
      <w:r w:rsidRPr="0042150B">
        <w:rPr>
          <w:rFonts w:eastAsia="Calibri" w:cs="Times New Roman"/>
          <w:u w:val="single"/>
        </w:rPr>
        <w:t>Jačanje održivog rasta i konkurentnosti MSP-ova i otvaranje radnih mjesta u njima</w:t>
      </w:r>
      <w:r w:rsidRPr="0042150B">
        <w:rPr>
          <w:rFonts w:eastAsia="Calibri" w:cs="Times New Roman"/>
        </w:rPr>
        <w:t xml:space="preserve">, među ostalim i kroz produktivna ulaganja: ukupna sredstva planirana unutar specifičnog cilja za razdoblje 2021.-2027. iznose 336 milijuna eura i (iii) </w:t>
      </w:r>
      <w:r w:rsidRPr="0042150B">
        <w:rPr>
          <w:rFonts w:eastAsia="Calibri" w:cs="Times New Roman"/>
          <w:u w:val="single"/>
        </w:rPr>
        <w:t>specifični cilj RSO2.6. Promicanje prelaska na kružno i resursno učinkovito gospodarstvo:</w:t>
      </w:r>
      <w:r w:rsidRPr="0042150B">
        <w:rPr>
          <w:rFonts w:eastAsia="Calibri" w:cs="Times New Roman"/>
        </w:rPr>
        <w:t xml:space="preserve"> ukupna sredstva planirana unutar specifičnog cilja za razdoblje 2021.-2027. iznose 119 milijuna eura.</w:t>
      </w:r>
    </w:p>
    <w:p w14:paraId="73849187" w14:textId="77777777" w:rsidR="00B33555" w:rsidRPr="0042150B" w:rsidRDefault="00B33555" w:rsidP="00B33555">
      <w:pPr>
        <w:spacing w:line="276" w:lineRule="auto"/>
        <w:rPr>
          <w:rFonts w:eastAsia="Calibri" w:cs="Times New Roman"/>
        </w:rPr>
      </w:pPr>
    </w:p>
    <w:p w14:paraId="5E8AB86C" w14:textId="0D770AAE" w:rsidR="006466DA" w:rsidRDefault="00B33555" w:rsidP="006466DA">
      <w:pPr>
        <w:spacing w:after="0" w:line="276" w:lineRule="auto"/>
        <w:jc w:val="both"/>
        <w:rPr>
          <w:rFonts w:eastAsia="Calibri" w:cs="Times New Roman"/>
        </w:rPr>
      </w:pPr>
      <w:r w:rsidRPr="0042150B">
        <w:rPr>
          <w:rFonts w:eastAsia="Calibri" w:cs="Times New Roman"/>
        </w:rPr>
        <w:t xml:space="preserve">Nadalje, </w:t>
      </w:r>
      <w:r w:rsidRPr="006466DA">
        <w:rPr>
          <w:rFonts w:eastAsia="Calibri" w:cs="Times New Roman"/>
          <w:b/>
          <w:i/>
        </w:rPr>
        <w:t>Strateški plan zajedničke poljoprivredne politike 2023.-2027</w:t>
      </w:r>
      <w:r w:rsidRPr="0042150B">
        <w:rPr>
          <w:rFonts w:eastAsia="Calibri" w:cs="Times New Roman"/>
        </w:rPr>
        <w:t>. pruža mogućnost sufinanciranja projekata u biogospodarstvu kroz značajan niz intervencij</w:t>
      </w:r>
      <w:r w:rsidR="006466DA">
        <w:rPr>
          <w:rFonts w:eastAsia="Calibri" w:cs="Times New Roman"/>
        </w:rPr>
        <w:t>a</w:t>
      </w:r>
      <w:r w:rsidRPr="0042150B">
        <w:rPr>
          <w:rFonts w:eastAsia="Calibri" w:cs="Times New Roman"/>
        </w:rPr>
        <w:t xml:space="preserve">. Samo kao primjer, moguće je navesti sljedeće:  (i) </w:t>
      </w:r>
      <w:r w:rsidRPr="0042150B">
        <w:rPr>
          <w:rFonts w:eastAsia="Calibri" w:cs="Times New Roman"/>
          <w:u w:val="single"/>
        </w:rPr>
        <w:t>73.03. Korištenje obnovljivih izvora energije</w:t>
      </w:r>
      <w:r w:rsidRPr="006E594B">
        <w:rPr>
          <w:rFonts w:eastAsia="Calibri" w:cs="Times New Roman"/>
        </w:rPr>
        <w:t xml:space="preserve">: </w:t>
      </w:r>
      <w:r w:rsidRPr="0042150B">
        <w:rPr>
          <w:rFonts w:eastAsia="Calibri" w:cs="Times New Roman"/>
        </w:rPr>
        <w:t>z</w:t>
      </w:r>
      <w:r w:rsidRPr="0042150B">
        <w:rPr>
          <w:rFonts w:eastAsia="Calibri" w:cs="Calibri"/>
        </w:rPr>
        <w:t xml:space="preserve">a intervenciju je za razdoblje od 2023. do 2027. osigurano ukupno 30 milijuna eura javnih sredstava potpore; </w:t>
      </w:r>
      <w:r w:rsidRPr="0042150B">
        <w:rPr>
          <w:rFonts w:eastAsia="Calibri" w:cs="Times New Roman"/>
        </w:rPr>
        <w:t>(ii)</w:t>
      </w:r>
      <w:r w:rsidR="001F6487">
        <w:rPr>
          <w:rFonts w:eastAsia="Calibri" w:cs="Times New Roman"/>
        </w:rPr>
        <w:t xml:space="preserve"> </w:t>
      </w:r>
      <w:r w:rsidRPr="0042150B">
        <w:rPr>
          <w:rFonts w:eastAsia="Calibri" w:cs="Times New Roman"/>
          <w:u w:val="single"/>
        </w:rPr>
        <w:t>72.01. Potpora za ograničenje u gospodarenju šumama</w:t>
      </w:r>
      <w:r w:rsidRPr="0042150B">
        <w:rPr>
          <w:rFonts w:eastAsia="Calibri" w:cs="Times New Roman"/>
        </w:rPr>
        <w:t>: z</w:t>
      </w:r>
      <w:r w:rsidRPr="0042150B">
        <w:rPr>
          <w:rFonts w:eastAsia="Calibri" w:cs="Calibri"/>
        </w:rPr>
        <w:t>a intervenciju je osigurano 8,8 milijuna eura u razdoblju 2023.-2027.</w:t>
      </w:r>
      <w:r w:rsidRPr="0042150B">
        <w:rPr>
          <w:rFonts w:eastAsia="Calibri" w:cs="Times New Roman"/>
        </w:rPr>
        <w:t xml:space="preserve">: (iii) </w:t>
      </w:r>
      <w:r w:rsidRPr="0042150B">
        <w:rPr>
          <w:rFonts w:eastAsia="Calibri" w:cs="Times New Roman"/>
          <w:u w:val="single"/>
        </w:rPr>
        <w:t>73.06. Ulaganja – Modernizacija šumarskih tehnologija u pridobivanju drva, šumsko uzgojnim radovima i proizvodnji šumskog reprodukcijskog materijala</w:t>
      </w:r>
      <w:r w:rsidRPr="0042150B">
        <w:rPr>
          <w:rFonts w:eastAsia="Calibri" w:cs="Times New Roman"/>
        </w:rPr>
        <w:t xml:space="preserve">: </w:t>
      </w:r>
      <w:r w:rsidRPr="0042150B">
        <w:rPr>
          <w:rFonts w:eastAsia="Calibri" w:cs="Calibri"/>
        </w:rPr>
        <w:t>za intervenciju je osigurano 20 milijuna eura.; (iv)</w:t>
      </w:r>
      <w:r w:rsidRPr="0042150B">
        <w:rPr>
          <w:rFonts w:eastAsia="Calibri" w:cs="Times New Roman"/>
        </w:rPr>
        <w:t xml:space="preserve"> </w:t>
      </w:r>
      <w:r w:rsidRPr="0042150B">
        <w:rPr>
          <w:rFonts w:eastAsia="Calibri" w:cs="Times New Roman"/>
          <w:u w:val="single"/>
        </w:rPr>
        <w:t>73.07. Ulaganja – Modernizacija tehnologija u predindustrijskoj preradi drva</w:t>
      </w:r>
      <w:r w:rsidRPr="0042150B">
        <w:rPr>
          <w:rFonts w:eastAsia="Calibri" w:cs="Times New Roman"/>
        </w:rPr>
        <w:t xml:space="preserve">: </w:t>
      </w:r>
      <w:r w:rsidRPr="0042150B">
        <w:rPr>
          <w:rFonts w:eastAsia="Calibri" w:cs="Calibri"/>
        </w:rPr>
        <w:t xml:space="preserve">za intervenciju je osigurano 26,9 milijuna eura: (v) </w:t>
      </w:r>
      <w:r w:rsidRPr="0042150B">
        <w:rPr>
          <w:rFonts w:eastAsia="Calibri" w:cs="Times New Roman"/>
        </w:rPr>
        <w:t>73.11</w:t>
      </w:r>
      <w:r w:rsidRPr="0042150B">
        <w:rPr>
          <w:rFonts w:eastAsia="Calibri" w:cs="Times New Roman"/>
          <w:u w:val="single"/>
        </w:rPr>
        <w:t>. Potpora za ulaganja u preradu poljoprivrednih proizvoda</w:t>
      </w:r>
      <w:r w:rsidRPr="0042150B">
        <w:rPr>
          <w:rFonts w:eastAsia="Calibri" w:cs="Times New Roman"/>
        </w:rPr>
        <w:t xml:space="preserve">: </w:t>
      </w:r>
      <w:r w:rsidRPr="0042150B">
        <w:rPr>
          <w:rFonts w:eastAsia="Calibri" w:cs="Calibri"/>
        </w:rPr>
        <w:t>za intervenciju je predviđeno 142,8 milijuna eura javne potpore do 2027. godine, a dodatna ulaganja u preradu poljoprivrednih proizvoda moguća su uz pomoć financijskih instrumenata (intervencija 73.11 FI); (vi)</w:t>
      </w:r>
      <w:r w:rsidRPr="0042150B">
        <w:rPr>
          <w:rFonts w:eastAsia="Calibri" w:cs="Times New Roman"/>
        </w:rPr>
        <w:t xml:space="preserve"> </w:t>
      </w:r>
      <w:r w:rsidRPr="0042150B">
        <w:rPr>
          <w:rFonts w:eastAsia="Calibri" w:cs="Times New Roman"/>
          <w:u w:val="single"/>
        </w:rPr>
        <w:t>77.06. Potpora LEADER (CLLD) pristupu</w:t>
      </w:r>
      <w:r w:rsidRPr="0042150B">
        <w:rPr>
          <w:rFonts w:eastAsia="Calibri" w:cs="Times New Roman"/>
        </w:rPr>
        <w:t xml:space="preserve">: </w:t>
      </w:r>
      <w:r w:rsidRPr="0042150B">
        <w:rPr>
          <w:rFonts w:eastAsia="Calibri" w:cs="Calibri"/>
        </w:rPr>
        <w:t xml:space="preserve">za potporu provedbe lokalnih razvojnih strategija LAG-ova je rezervirano 103 milijuna eura i dr. </w:t>
      </w:r>
    </w:p>
    <w:p w14:paraId="354932CF" w14:textId="77777777" w:rsidR="006466DA" w:rsidRDefault="006466DA" w:rsidP="006466DA">
      <w:pPr>
        <w:spacing w:after="0" w:line="276" w:lineRule="auto"/>
        <w:jc w:val="both"/>
        <w:rPr>
          <w:rFonts w:eastAsia="Calibri" w:cs="Times New Roman"/>
        </w:rPr>
      </w:pPr>
    </w:p>
    <w:p w14:paraId="4D95916B" w14:textId="654388A4" w:rsidR="00B33555" w:rsidRPr="0042150B" w:rsidRDefault="00B33555" w:rsidP="006466DA">
      <w:pPr>
        <w:spacing w:after="0" w:line="276" w:lineRule="auto"/>
        <w:jc w:val="both"/>
        <w:rPr>
          <w:rFonts w:eastAsia="Calibri" w:cs="Times New Roman"/>
        </w:rPr>
      </w:pPr>
      <w:r w:rsidRPr="0042150B">
        <w:rPr>
          <w:rFonts w:eastAsia="Calibri" w:cs="Times New Roman"/>
        </w:rPr>
        <w:t>Među ostalim, za daljnja ulaganja u područje biogospodarstva relevantan je</w:t>
      </w:r>
      <w:r w:rsidRPr="001F6487">
        <w:rPr>
          <w:rFonts w:eastAsia="Calibri" w:cs="Times New Roman"/>
          <w:bCs/>
          <w:iCs/>
        </w:rPr>
        <w:t xml:space="preserve"> </w:t>
      </w:r>
      <w:r w:rsidRPr="006E594B">
        <w:rPr>
          <w:rFonts w:eastAsia="Calibri" w:cs="Times New Roman"/>
          <w:bCs/>
          <w:iCs/>
        </w:rPr>
        <w:t xml:space="preserve">i </w:t>
      </w:r>
      <w:r w:rsidRPr="006466DA">
        <w:rPr>
          <w:rFonts w:eastAsia="Calibri" w:cs="Times New Roman"/>
          <w:b/>
          <w:i/>
        </w:rPr>
        <w:t>Modernizacijski fond</w:t>
      </w:r>
      <w:r w:rsidRPr="0042150B">
        <w:rPr>
          <w:rFonts w:eastAsia="Calibri" w:cs="Times New Roman"/>
        </w:rPr>
        <w:t xml:space="preserve"> kojim se podupiru programi potpore kojima je cilj postizanje klimatske neutralnosti i unaprjeđenje energetske učinkovitosti</w:t>
      </w:r>
      <w:r w:rsidR="001F6487">
        <w:rPr>
          <w:rFonts w:eastAsia="Calibri" w:cs="Times New Roman"/>
        </w:rPr>
        <w:t>,</w:t>
      </w:r>
      <w:r w:rsidRPr="0042150B">
        <w:rPr>
          <w:rFonts w:eastAsia="Calibri" w:cs="Times New Roman"/>
        </w:rPr>
        <w:t xml:space="preserve"> a na raspolaganju iz ovog izvora Hrvatska ima otprilike 1 milijard</w:t>
      </w:r>
      <w:r w:rsidR="001F6487">
        <w:rPr>
          <w:rFonts w:eastAsia="Calibri" w:cs="Times New Roman"/>
        </w:rPr>
        <w:t>u</w:t>
      </w:r>
      <w:r w:rsidRPr="0042150B">
        <w:rPr>
          <w:rFonts w:eastAsia="Calibri" w:cs="Times New Roman"/>
        </w:rPr>
        <w:t xml:space="preserve"> eura za razdoblje do 2030.</w:t>
      </w:r>
    </w:p>
    <w:p w14:paraId="7DF89267" w14:textId="00AF6F41" w:rsidR="00B33555" w:rsidRPr="0042150B" w:rsidRDefault="00B33555" w:rsidP="00B33555">
      <w:pPr>
        <w:spacing w:line="276" w:lineRule="auto"/>
        <w:jc w:val="both"/>
        <w:rPr>
          <w:rFonts w:eastAsia="Calibri" w:cs="Times New Roman"/>
        </w:rPr>
      </w:pPr>
      <w:r w:rsidRPr="0042150B">
        <w:rPr>
          <w:rFonts w:eastAsia="Calibri" w:cs="Times New Roman"/>
        </w:rPr>
        <w:lastRenderedPageBreak/>
        <w:t xml:space="preserve">Nikako nije </w:t>
      </w:r>
      <w:r w:rsidRPr="00825B29">
        <w:rPr>
          <w:rFonts w:eastAsia="Calibri" w:cs="Times New Roman"/>
        </w:rPr>
        <w:t xml:space="preserve">zanemariv značaj </w:t>
      </w:r>
      <w:r w:rsidRPr="006466DA">
        <w:rPr>
          <w:rFonts w:eastAsia="Calibri" w:cs="Times New Roman"/>
          <w:b/>
          <w:i/>
        </w:rPr>
        <w:t>Fonda za zaštitu okoliša i energetsku učinkovitost</w:t>
      </w:r>
      <w:r w:rsidRPr="00825B29">
        <w:rPr>
          <w:rFonts w:eastAsia="Calibri" w:cs="Times New Roman"/>
        </w:rPr>
        <w:t xml:space="preserve"> koji provodi aktivnosti povezane s financiranjem pripreme, provedbe i razvoja</w:t>
      </w:r>
      <w:r w:rsidRPr="0042150B">
        <w:rPr>
          <w:rFonts w:eastAsia="Calibri" w:cs="Times New Roman"/>
        </w:rPr>
        <w:t xml:space="preserve"> programa i projekata i sličnih aktivnosti u području očuvanja, održivog korištenja, zaštite i unapređivanja okoliša i u području energetske učinkovitosti i korištenju obnovljivih izvora energije. Konačno, mogući izvor financiranja su i </w:t>
      </w:r>
      <w:r w:rsidRPr="006466DA">
        <w:rPr>
          <w:rFonts w:eastAsia="Calibri" w:cs="Times New Roman"/>
          <w:b/>
          <w:i/>
        </w:rPr>
        <w:t>proračuni jedin</w:t>
      </w:r>
      <w:r w:rsidR="006D244C">
        <w:rPr>
          <w:rFonts w:eastAsia="Calibri" w:cs="Times New Roman"/>
          <w:b/>
          <w:i/>
        </w:rPr>
        <w:t>i</w:t>
      </w:r>
      <w:r w:rsidRPr="006466DA">
        <w:rPr>
          <w:rFonts w:eastAsia="Calibri" w:cs="Times New Roman"/>
          <w:b/>
          <w:i/>
        </w:rPr>
        <w:t xml:space="preserve">ca lokalne i područne (regionalne) samouprave </w:t>
      </w:r>
      <w:r w:rsidRPr="0042150B">
        <w:rPr>
          <w:rFonts w:eastAsia="Calibri" w:cs="Times New Roman"/>
        </w:rPr>
        <w:t xml:space="preserve">s obzirom da je u </w:t>
      </w:r>
      <w:r w:rsidR="00A962D2">
        <w:rPr>
          <w:rFonts w:eastAsia="Calibri" w:cs="Times New Roman"/>
        </w:rPr>
        <w:t xml:space="preserve">novijim </w:t>
      </w:r>
      <w:r w:rsidRPr="0042150B">
        <w:rPr>
          <w:rFonts w:eastAsia="Calibri" w:cs="Times New Roman"/>
        </w:rPr>
        <w:t xml:space="preserve">planovima razvoja </w:t>
      </w:r>
      <w:r w:rsidR="00A962D2">
        <w:rPr>
          <w:rFonts w:eastAsia="Calibri" w:cs="Times New Roman"/>
        </w:rPr>
        <w:t xml:space="preserve">vidljivo </w:t>
      </w:r>
      <w:r w:rsidRPr="0042150B">
        <w:rPr>
          <w:rFonts w:eastAsia="Calibri" w:cs="Times New Roman"/>
        </w:rPr>
        <w:t>da županije i gradovi</w:t>
      </w:r>
      <w:r w:rsidR="00A962D2">
        <w:rPr>
          <w:rFonts w:eastAsia="Calibri" w:cs="Times New Roman"/>
        </w:rPr>
        <w:t>,</w:t>
      </w:r>
      <w:r w:rsidRPr="0042150B">
        <w:rPr>
          <w:rFonts w:eastAsia="Calibri" w:cs="Times New Roman"/>
        </w:rPr>
        <w:t xml:space="preserve"> često predviđaju prioritete, strateške projekte i aktivnosti u području biogospodarstva te financijska sredstva za njihovo ostvarivanje. Mogućnosti za financiranja projekata u biogospodarstvu vidljive su i u nizu drugih programa kao što su to primjerice Inovacijski fond i Program Obzor Europa</w:t>
      </w:r>
      <w:r w:rsidR="00A962D2">
        <w:rPr>
          <w:rFonts w:eastAsia="Calibri" w:cs="Times New Roman"/>
        </w:rPr>
        <w:t>,</w:t>
      </w:r>
      <w:r w:rsidRPr="0042150B">
        <w:rPr>
          <w:rFonts w:eastAsia="Calibri" w:cs="Times New Roman"/>
        </w:rPr>
        <w:t xml:space="preserve"> koji nisu u </w:t>
      </w:r>
      <w:r w:rsidR="005B5D10" w:rsidRPr="00B87D94">
        <w:rPr>
          <w:rFonts w:cstheme="minorHAnsi"/>
        </w:rPr>
        <w:t>Nacrt</w:t>
      </w:r>
      <w:r w:rsidR="005B5D10">
        <w:rPr>
          <w:rFonts w:cstheme="minorHAnsi"/>
        </w:rPr>
        <w:t xml:space="preserve">u </w:t>
      </w:r>
      <w:r w:rsidRPr="0042150B">
        <w:rPr>
          <w:rFonts w:eastAsia="Calibri" w:cs="Times New Roman"/>
        </w:rPr>
        <w:t>Strategij</w:t>
      </w:r>
      <w:r w:rsidR="005B5D10">
        <w:rPr>
          <w:rFonts w:eastAsia="Calibri" w:cs="Times New Roman"/>
        </w:rPr>
        <w:t xml:space="preserve">e </w:t>
      </w:r>
      <w:r w:rsidRPr="0042150B">
        <w:rPr>
          <w:rFonts w:eastAsia="Calibri" w:cs="Times New Roman"/>
        </w:rPr>
        <w:t>detaljnije navedeni s obzirom da EK planira sredstva i objavljuje natječaje. Detaljnije informacije o mogućnostima korištenja fondova nalaze se u Dodatku 2. Strategije.</w:t>
      </w:r>
    </w:p>
    <w:p w14:paraId="44158622" w14:textId="66D5E852" w:rsidR="00B33555" w:rsidRPr="0042150B" w:rsidRDefault="00B33555" w:rsidP="00B33555">
      <w:pPr>
        <w:spacing w:after="200" w:line="276" w:lineRule="auto"/>
        <w:jc w:val="both"/>
        <w:rPr>
          <w:rFonts w:cstheme="minorHAnsi"/>
        </w:rPr>
      </w:pPr>
      <w:r w:rsidRPr="0042150B">
        <w:rPr>
          <w:rFonts w:cstheme="minorHAnsi"/>
        </w:rPr>
        <w:t>Djelotvornost se ujedno nadovezuje i na nužnost primjene integriranog pristupa prilikom promišljanja daljnjeg razvoja biogospodarstva. Pri tom se misli na kontinuiranu i svrhovitu međusektorsku suradnju relevantnih resora s obzirom na izuzetnu povezanost problematike razvoja biogospodarstva s problematikom pokrivenom drugim javnim politikama. Pri tome su</w:t>
      </w:r>
      <w:r w:rsidR="00A962D2">
        <w:rPr>
          <w:rFonts w:cstheme="minorHAnsi"/>
        </w:rPr>
        <w:t>,</w:t>
      </w:r>
      <w:r w:rsidRPr="0042150B">
        <w:rPr>
          <w:rFonts w:cstheme="minorHAnsi"/>
        </w:rPr>
        <w:t xml:space="preserve"> uz javnu politiku poljoprivrede</w:t>
      </w:r>
      <w:r w:rsidR="00A962D2">
        <w:rPr>
          <w:rFonts w:cstheme="minorHAnsi"/>
        </w:rPr>
        <w:t>,</w:t>
      </w:r>
      <w:r w:rsidRPr="0042150B">
        <w:rPr>
          <w:rFonts w:cstheme="minorHAnsi"/>
        </w:rPr>
        <w:t xml:space="preserve"> poglavito značajne gospodarska, znanstveno</w:t>
      </w:r>
      <w:r w:rsidR="006C3C43">
        <w:rPr>
          <w:rFonts w:cstheme="minorHAnsi"/>
        </w:rPr>
        <w:t xml:space="preserve"> - </w:t>
      </w:r>
      <w:r w:rsidRPr="0042150B">
        <w:rPr>
          <w:rFonts w:cstheme="minorHAnsi"/>
        </w:rPr>
        <w:t>inovacijska i regionalna politika. Pojedini segmenti iz područja biogospodarstva su također vrlo naglašeno nadovezani na politiku zaštite okoliša. Djelotvorna  suradnja i  koordinacija relevantnih tijela pretpostavlja primjenu participativnog upravljanja i uključivanje svih bitnih aktera na svim hijerarhijskim razinama kako bi se osigurala kvalitetna provedba Strategije. Spomenuto je najuže vezano za kvalitetno postavljen i koordiniran institucionalni sustav</w:t>
      </w:r>
      <w:r w:rsidR="006C3C43">
        <w:rPr>
          <w:rFonts w:cstheme="minorHAnsi"/>
        </w:rPr>
        <w:t xml:space="preserve">, </w:t>
      </w:r>
      <w:r w:rsidRPr="0042150B">
        <w:rPr>
          <w:rFonts w:cstheme="minorHAnsi"/>
        </w:rPr>
        <w:t>a ključna uloga će biti na Ministarstvu poljoprivrede. Koristi od ovakvog pristupa bit će stoga vidljive i kod drugih javnih politika, ne samo politike razvoja biogospodarstva. Treba naglasiti da su za kvalitetan institucionaln</w:t>
      </w:r>
      <w:r w:rsidR="006C3C43">
        <w:rPr>
          <w:rFonts w:cstheme="minorHAnsi"/>
        </w:rPr>
        <w:t>i</w:t>
      </w:r>
      <w:r w:rsidRPr="0042150B">
        <w:rPr>
          <w:rFonts w:cstheme="minorHAnsi"/>
        </w:rPr>
        <w:t xml:space="preserve"> sustav od presudnog značaja kvalitetni ljudski resursi</w:t>
      </w:r>
      <w:r w:rsidR="006C3C43">
        <w:rPr>
          <w:rFonts w:cstheme="minorHAnsi"/>
        </w:rPr>
        <w:t xml:space="preserve">, </w:t>
      </w:r>
      <w:r w:rsidRPr="0042150B">
        <w:rPr>
          <w:rFonts w:cstheme="minorHAnsi"/>
        </w:rPr>
        <w:t>a što podrazumijeva ne samo kompetentnost, specifična  institucionalna znanja i iskustvo neposredno uključenih</w:t>
      </w:r>
      <w:r w:rsidR="00A962D2">
        <w:rPr>
          <w:rFonts w:cstheme="minorHAnsi"/>
        </w:rPr>
        <w:t>,</w:t>
      </w:r>
      <w:r w:rsidRPr="0042150B">
        <w:rPr>
          <w:rFonts w:cstheme="minorHAnsi"/>
        </w:rPr>
        <w:t xml:space="preserve"> već i dovoljan broj zaposlenih stručnjaka s potrebnim znanjima i vještinama za učinkovitu i djelotvornu provedbu Strategije u Ministarstvu poljoprivrede.</w:t>
      </w:r>
    </w:p>
    <w:p w14:paraId="34C9BE4B" w14:textId="73DD5044" w:rsidR="00472009" w:rsidRPr="00FB2D73" w:rsidRDefault="00825B29" w:rsidP="00FB2D73">
      <w:pPr>
        <w:pStyle w:val="Tekstkomentara"/>
        <w:spacing w:after="200" w:line="276" w:lineRule="auto"/>
        <w:jc w:val="both"/>
        <w:rPr>
          <w:sz w:val="22"/>
          <w:szCs w:val="22"/>
        </w:rPr>
      </w:pPr>
      <w:r w:rsidRPr="00FB2D73">
        <w:rPr>
          <w:sz w:val="22"/>
          <w:szCs w:val="22"/>
        </w:rPr>
        <w:t xml:space="preserve">Prema obuhvatu </w:t>
      </w:r>
      <w:r w:rsidR="00FB2D73" w:rsidRPr="00FB2D73">
        <w:rPr>
          <w:sz w:val="22"/>
          <w:szCs w:val="22"/>
        </w:rPr>
        <w:t>Strategije</w:t>
      </w:r>
      <w:r w:rsidR="00A962D2">
        <w:rPr>
          <w:sz w:val="22"/>
          <w:szCs w:val="22"/>
        </w:rPr>
        <w:t>,</w:t>
      </w:r>
      <w:r w:rsidR="00FB2D73" w:rsidRPr="00FB2D73">
        <w:rPr>
          <w:sz w:val="22"/>
          <w:szCs w:val="22"/>
        </w:rPr>
        <w:t xml:space="preserve"> izvjesno je da će značajan broj zaposlenika biti uključen u njenu provedbu</w:t>
      </w:r>
      <w:r w:rsidRPr="00FB2D73">
        <w:rPr>
          <w:sz w:val="22"/>
          <w:szCs w:val="22"/>
        </w:rPr>
        <w:t>.</w:t>
      </w:r>
      <w:r w:rsidR="00FB2D73" w:rsidRPr="00FB2D73">
        <w:rPr>
          <w:sz w:val="22"/>
          <w:szCs w:val="22"/>
        </w:rPr>
        <w:t xml:space="preserve"> </w:t>
      </w:r>
      <w:r w:rsidRPr="00FB2D73">
        <w:rPr>
          <w:sz w:val="22"/>
          <w:szCs w:val="22"/>
        </w:rPr>
        <w:t xml:space="preserve">U samom </w:t>
      </w:r>
      <w:r w:rsidR="00FB2D73" w:rsidRPr="00FB2D73">
        <w:rPr>
          <w:sz w:val="22"/>
          <w:szCs w:val="22"/>
        </w:rPr>
        <w:t>M</w:t>
      </w:r>
      <w:r w:rsidRPr="00FB2D73">
        <w:rPr>
          <w:sz w:val="22"/>
          <w:szCs w:val="22"/>
        </w:rPr>
        <w:t xml:space="preserve">inistarstvu poljoprivrede </w:t>
      </w:r>
      <w:r w:rsidR="00FB2D73" w:rsidRPr="00FB2D73">
        <w:rPr>
          <w:sz w:val="22"/>
          <w:szCs w:val="22"/>
        </w:rPr>
        <w:t xml:space="preserve">bit će uključeni zaposlenici iz barem </w:t>
      </w:r>
      <w:r w:rsidRPr="00FB2D73">
        <w:rPr>
          <w:sz w:val="22"/>
          <w:szCs w:val="22"/>
        </w:rPr>
        <w:t>4 uprave (poljoprivredna politika, ruralni razvoj, ribarstvo</w:t>
      </w:r>
      <w:r w:rsidR="00FB2D73">
        <w:rPr>
          <w:sz w:val="22"/>
          <w:szCs w:val="22"/>
        </w:rPr>
        <w:t xml:space="preserve"> i </w:t>
      </w:r>
      <w:r w:rsidRPr="00FB2D73">
        <w:rPr>
          <w:sz w:val="22"/>
          <w:szCs w:val="22"/>
        </w:rPr>
        <w:t xml:space="preserve"> šumarstvo). </w:t>
      </w:r>
      <w:r w:rsidR="00FB2D73">
        <w:rPr>
          <w:sz w:val="22"/>
          <w:szCs w:val="22"/>
        </w:rPr>
        <w:t xml:space="preserve">Bit će </w:t>
      </w:r>
      <w:r w:rsidRPr="00FB2D73">
        <w:rPr>
          <w:sz w:val="22"/>
          <w:szCs w:val="22"/>
        </w:rPr>
        <w:t xml:space="preserve">uključena </w:t>
      </w:r>
      <w:r w:rsidR="00FB2D73">
        <w:rPr>
          <w:sz w:val="22"/>
          <w:szCs w:val="22"/>
        </w:rPr>
        <w:t xml:space="preserve">i </w:t>
      </w:r>
      <w:r w:rsidRPr="00FB2D73">
        <w:rPr>
          <w:sz w:val="22"/>
          <w:szCs w:val="22"/>
        </w:rPr>
        <w:t>druga ministarstva</w:t>
      </w:r>
      <w:r w:rsidR="00FB2D73">
        <w:rPr>
          <w:sz w:val="22"/>
          <w:szCs w:val="22"/>
        </w:rPr>
        <w:t xml:space="preserve"> te </w:t>
      </w:r>
      <w:r w:rsidRPr="00FB2D73">
        <w:rPr>
          <w:sz w:val="22"/>
          <w:szCs w:val="22"/>
        </w:rPr>
        <w:t>javna i lokalna samouprava</w:t>
      </w:r>
      <w:r w:rsidR="00FB2D73">
        <w:rPr>
          <w:sz w:val="22"/>
          <w:szCs w:val="22"/>
        </w:rPr>
        <w:t xml:space="preserve">. </w:t>
      </w:r>
      <w:r w:rsidR="00B33555" w:rsidRPr="00FB2D73">
        <w:rPr>
          <w:rFonts w:eastAsia="Calibri" w:cstheme="minorHAnsi"/>
          <w:sz w:val="22"/>
          <w:szCs w:val="22"/>
        </w:rPr>
        <w:t xml:space="preserve">Temeljem primjene kriterija </w:t>
      </w:r>
      <w:r w:rsidR="0042150B" w:rsidRPr="00FB2D73">
        <w:rPr>
          <w:rFonts w:eastAsia="Calibri" w:cstheme="minorHAnsi"/>
          <w:sz w:val="22"/>
          <w:szCs w:val="22"/>
        </w:rPr>
        <w:t>djelotvornosti</w:t>
      </w:r>
      <w:r w:rsidR="00B33555" w:rsidRPr="00FB2D73">
        <w:rPr>
          <w:rFonts w:eastAsia="Calibri" w:cstheme="minorHAnsi"/>
          <w:sz w:val="22"/>
          <w:szCs w:val="22"/>
        </w:rPr>
        <w:t xml:space="preserve"> tijekom realizacije postupka vrednovanja vidljivo je da su</w:t>
      </w:r>
      <w:r w:rsidR="00B33555" w:rsidRPr="00FB2D73">
        <w:rPr>
          <w:rFonts w:cstheme="minorHAnsi"/>
          <w:sz w:val="22"/>
          <w:szCs w:val="22"/>
        </w:rPr>
        <w:t xml:space="preserve"> financijski, institucionalni i ljudski resursi predviđeni za provedbu Strategije jasno identificirani i dovoljni za provedbu te da je institucionalni sustav kvalitetno osposobljen i adekvatan za njihovu provedbu.</w:t>
      </w:r>
      <w:r w:rsidR="00B33555" w:rsidRPr="00FB2D73">
        <w:rPr>
          <w:rFonts w:eastAsia="Calibri" w:cstheme="minorHAnsi"/>
          <w:sz w:val="22"/>
          <w:szCs w:val="22"/>
        </w:rPr>
        <w:t xml:space="preserve"> Dodatno, zbog specifičnosti problematike biogospodarstva, koja je izuzetno vezana za niz relevantnih  razvojnih javnih politika, međuresorna suradnja i kontinuirana djelotvorna koordinacija izuzetno su značajni za daljnji uspješan i dugoročan razvoj sektora. </w:t>
      </w:r>
    </w:p>
    <w:p w14:paraId="4B40DE07" w14:textId="77777777" w:rsidR="00B6387C" w:rsidRDefault="00B6387C" w:rsidP="00844412">
      <w:pPr>
        <w:spacing w:after="200" w:line="276" w:lineRule="auto"/>
        <w:jc w:val="both"/>
        <w:rPr>
          <w:rFonts w:asciiTheme="majorHAnsi" w:hAnsiTheme="majorHAnsi" w:cstheme="majorHAnsi"/>
          <w:b/>
          <w:color w:val="2E74B5" w:themeColor="accent1" w:themeShade="BF"/>
          <w:sz w:val="28"/>
          <w:szCs w:val="28"/>
        </w:rPr>
      </w:pPr>
    </w:p>
    <w:p w14:paraId="3AAA6E4D" w14:textId="6D98AC92" w:rsidR="00844412" w:rsidRPr="00B6387C" w:rsidRDefault="0042150B" w:rsidP="00844412">
      <w:pPr>
        <w:spacing w:after="200" w:line="276" w:lineRule="auto"/>
        <w:jc w:val="both"/>
        <w:rPr>
          <w:rFonts w:asciiTheme="majorHAnsi" w:hAnsiTheme="majorHAnsi" w:cstheme="majorHAnsi"/>
          <w:b/>
          <w:bCs/>
          <w:color w:val="2F5496" w:themeColor="accent5" w:themeShade="BF"/>
          <w:sz w:val="28"/>
          <w:szCs w:val="28"/>
        </w:rPr>
      </w:pPr>
      <w:r>
        <w:rPr>
          <w:rFonts w:asciiTheme="majorHAnsi" w:hAnsiTheme="majorHAnsi" w:cstheme="majorHAnsi"/>
          <w:b/>
          <w:color w:val="2E74B5" w:themeColor="accent1" w:themeShade="BF"/>
          <w:sz w:val="28"/>
          <w:szCs w:val="28"/>
        </w:rPr>
        <w:br w:type="column"/>
      </w:r>
      <w:r w:rsidR="00844412" w:rsidRPr="009973AC">
        <w:rPr>
          <w:rFonts w:asciiTheme="majorHAnsi" w:hAnsiTheme="majorHAnsi" w:cstheme="majorHAnsi"/>
          <w:b/>
          <w:color w:val="2E74B5" w:themeColor="accent1" w:themeShade="BF"/>
          <w:sz w:val="28"/>
          <w:szCs w:val="28"/>
        </w:rPr>
        <w:lastRenderedPageBreak/>
        <w:tab/>
      </w:r>
      <w:r w:rsidR="00844412" w:rsidRPr="009973AC">
        <w:rPr>
          <w:rFonts w:asciiTheme="majorHAnsi" w:hAnsiTheme="majorHAnsi" w:cstheme="majorHAnsi"/>
          <w:b/>
          <w:color w:val="2E74B5" w:themeColor="accent1" w:themeShade="BF"/>
          <w:sz w:val="28"/>
          <w:szCs w:val="28"/>
        </w:rPr>
        <w:tab/>
      </w:r>
      <w:r w:rsidR="00844412" w:rsidRPr="009973AC">
        <w:rPr>
          <w:rFonts w:asciiTheme="majorHAnsi" w:hAnsiTheme="majorHAnsi" w:cstheme="majorHAnsi"/>
          <w:b/>
          <w:color w:val="2E74B5" w:themeColor="accent1" w:themeShade="BF"/>
          <w:sz w:val="28"/>
          <w:szCs w:val="28"/>
        </w:rPr>
        <w:tab/>
      </w:r>
      <w:r w:rsidR="00844412" w:rsidRPr="009973AC">
        <w:rPr>
          <w:rFonts w:asciiTheme="majorHAnsi" w:hAnsiTheme="majorHAnsi" w:cstheme="majorHAnsi"/>
          <w:b/>
          <w:color w:val="2E74B5" w:themeColor="accent1" w:themeShade="BF"/>
          <w:sz w:val="28"/>
          <w:szCs w:val="28"/>
        </w:rPr>
        <w:tab/>
      </w:r>
      <w:r w:rsidR="00844412" w:rsidRPr="009973AC">
        <w:rPr>
          <w:rFonts w:asciiTheme="majorHAnsi" w:hAnsiTheme="majorHAnsi" w:cstheme="majorHAnsi"/>
          <w:b/>
          <w:color w:val="2E74B5" w:themeColor="accent1" w:themeShade="BF"/>
          <w:sz w:val="28"/>
          <w:szCs w:val="28"/>
        </w:rPr>
        <w:tab/>
      </w:r>
      <w:r w:rsidR="00844412" w:rsidRPr="009973AC">
        <w:rPr>
          <w:rFonts w:asciiTheme="majorHAnsi" w:hAnsiTheme="majorHAnsi" w:cstheme="majorHAnsi"/>
          <w:b/>
          <w:color w:val="2E74B5" w:themeColor="accent1" w:themeShade="BF"/>
          <w:sz w:val="28"/>
          <w:szCs w:val="28"/>
        </w:rPr>
        <w:tab/>
      </w:r>
      <w:r w:rsidR="00844412" w:rsidRPr="009973AC">
        <w:rPr>
          <w:rFonts w:asciiTheme="majorHAnsi" w:hAnsiTheme="majorHAnsi" w:cstheme="majorHAnsi"/>
          <w:b/>
          <w:color w:val="2E74B5" w:themeColor="accent1" w:themeShade="BF"/>
          <w:sz w:val="28"/>
          <w:szCs w:val="28"/>
        </w:rPr>
        <w:tab/>
      </w:r>
    </w:p>
    <w:p w14:paraId="37565312" w14:textId="697BF8FE" w:rsidR="00844412" w:rsidRPr="00224015" w:rsidRDefault="00F67CF9" w:rsidP="006E594B">
      <w:pPr>
        <w:pStyle w:val="Naslov1"/>
        <w:rPr>
          <w:rFonts w:cstheme="minorHAnsi"/>
          <w:b/>
          <w:lang w:eastAsia="hr-HR"/>
        </w:rPr>
      </w:pPr>
      <w:r>
        <w:rPr>
          <w:b/>
        </w:rPr>
        <w:t>6</w:t>
      </w:r>
      <w:r w:rsidR="00844412" w:rsidRPr="00224015">
        <w:rPr>
          <w:b/>
        </w:rPr>
        <w:t xml:space="preserve">. ZAKLJUČCI </w:t>
      </w:r>
    </w:p>
    <w:p w14:paraId="0097C243" w14:textId="77777777" w:rsidR="004F7D61" w:rsidRDefault="004F7D61" w:rsidP="00844412">
      <w:pPr>
        <w:spacing w:after="200" w:line="276" w:lineRule="auto"/>
        <w:jc w:val="both"/>
        <w:rPr>
          <w:rFonts w:cstheme="minorHAnsi"/>
        </w:rPr>
      </w:pPr>
    </w:p>
    <w:p w14:paraId="05BD9DE1" w14:textId="3E2DDD83" w:rsidR="00844412" w:rsidRPr="009973AC" w:rsidRDefault="00844412" w:rsidP="00844412">
      <w:pPr>
        <w:spacing w:after="200" w:line="276" w:lineRule="auto"/>
        <w:jc w:val="both"/>
        <w:rPr>
          <w:rFonts w:cstheme="minorHAnsi"/>
        </w:rPr>
      </w:pPr>
      <w:r w:rsidRPr="009973AC">
        <w:rPr>
          <w:rFonts w:cstheme="minorHAnsi"/>
        </w:rPr>
        <w:t xml:space="preserve">Tijekom provedenog postupka vrednovanja </w:t>
      </w:r>
      <w:r w:rsidR="00B6387C">
        <w:rPr>
          <w:rFonts w:cstheme="minorHAnsi"/>
        </w:rPr>
        <w:t xml:space="preserve">Strategije biogospodarstva do 2035. </w:t>
      </w:r>
      <w:r w:rsidRPr="009973AC">
        <w:rPr>
          <w:rFonts w:cstheme="minorHAnsi"/>
        </w:rPr>
        <w:t>korišteni su propisani kriteriji vrednovanja te uobičajena evaluacijska pitanja koja se koriste prilikom realizacije prethodnog vrednovanja</w:t>
      </w:r>
      <w:r w:rsidR="00B6387C">
        <w:rPr>
          <w:rFonts w:cstheme="minorHAnsi"/>
        </w:rPr>
        <w:t xml:space="preserve"> akta strateškog planiranja</w:t>
      </w:r>
      <w:r w:rsidRPr="009973AC">
        <w:rPr>
          <w:rFonts w:cstheme="minorHAnsi"/>
        </w:rPr>
        <w:t xml:space="preserve">. </w:t>
      </w:r>
      <w:r w:rsidRPr="009973AC">
        <w:t xml:space="preserve">Postupak vrednovanja odvijao se u </w:t>
      </w:r>
      <w:r w:rsidR="00B6387C">
        <w:t xml:space="preserve">nekoliko </w:t>
      </w:r>
      <w:r w:rsidRPr="009973AC">
        <w:t>ključn</w:t>
      </w:r>
      <w:r w:rsidR="00B6387C">
        <w:t>ih</w:t>
      </w:r>
      <w:r w:rsidRPr="009973AC">
        <w:t xml:space="preserve"> koraka i prijedlozi tima za vrednovanje usvajani su</w:t>
      </w:r>
      <w:r w:rsidR="00B6387C">
        <w:t xml:space="preserve"> od strane Izrađivača</w:t>
      </w:r>
      <w:r w:rsidRPr="009973AC">
        <w:t xml:space="preserve"> tijekom izrade svake daljnje verzije Nacrta </w:t>
      </w:r>
      <w:r w:rsidR="00B6387C">
        <w:t>Strategije</w:t>
      </w:r>
      <w:r w:rsidRPr="009973AC">
        <w:t>.</w:t>
      </w:r>
      <w:r w:rsidRPr="009973AC">
        <w:rPr>
          <w:b/>
        </w:rPr>
        <w:t xml:space="preserve"> </w:t>
      </w:r>
    </w:p>
    <w:p w14:paraId="565E6707" w14:textId="56C0E44E" w:rsidR="00844412" w:rsidRPr="00FB2D73" w:rsidRDefault="00B6387C" w:rsidP="00844412">
      <w:pPr>
        <w:spacing w:after="200" w:line="276" w:lineRule="auto"/>
        <w:jc w:val="both"/>
      </w:pPr>
      <w:r>
        <w:t xml:space="preserve">Na temelju primjene </w:t>
      </w:r>
      <w:r w:rsidR="00844412" w:rsidRPr="009973AC">
        <w:t xml:space="preserve">kriterija vrednovanja </w:t>
      </w:r>
      <w:r>
        <w:t xml:space="preserve">bilo je </w:t>
      </w:r>
      <w:r w:rsidR="00844412" w:rsidRPr="009973AC">
        <w:t xml:space="preserve">vidljivo kako prilikom odgovaranja na </w:t>
      </w:r>
      <w:r w:rsidR="00D66E02">
        <w:t xml:space="preserve">pojedina </w:t>
      </w:r>
      <w:r w:rsidR="00844412" w:rsidRPr="009973AC">
        <w:t xml:space="preserve">evaluacijska </w:t>
      </w:r>
      <w:r w:rsidR="00844412" w:rsidRPr="00FB2D73">
        <w:t>pitanja nije bilo moguće razmatrati pojedine kriterije potpuno izdvojeno. Niz kriterija je uzajamno povezan</w:t>
      </w:r>
      <w:r w:rsidR="00900855">
        <w:t>,</w:t>
      </w:r>
      <w:r w:rsidR="00844412" w:rsidRPr="00FB2D73">
        <w:t xml:space="preserve"> i upravo ti međuodnosi značajni su kada je riječ o </w:t>
      </w:r>
      <w:r w:rsidR="00D66E02" w:rsidRPr="00FB2D73">
        <w:t xml:space="preserve">izradi kvalitetnog akta strateškog planiranja te </w:t>
      </w:r>
      <w:r w:rsidR="00844412" w:rsidRPr="00FB2D73">
        <w:t>stvaranj</w:t>
      </w:r>
      <w:r w:rsidR="006C3C43" w:rsidRPr="00FB2D73">
        <w:t>a</w:t>
      </w:r>
      <w:r w:rsidR="00844412" w:rsidRPr="00FB2D73">
        <w:t xml:space="preserve"> osnove za </w:t>
      </w:r>
      <w:r w:rsidR="00D66E02" w:rsidRPr="00FB2D73">
        <w:t xml:space="preserve">njegovu </w:t>
      </w:r>
      <w:r w:rsidR="00844412" w:rsidRPr="00FB2D73">
        <w:t>uspješnu provedbu. To s</w:t>
      </w:r>
      <w:r w:rsidR="00D66E02" w:rsidRPr="00FB2D73">
        <w:t>e</w:t>
      </w:r>
      <w:r w:rsidR="00844412" w:rsidRPr="00FB2D73">
        <w:t xml:space="preserve"> u prvom redu odnosi</w:t>
      </w:r>
      <w:r w:rsidR="00713BD3" w:rsidRPr="00FB2D73">
        <w:t>, primjerice,</w:t>
      </w:r>
      <w:r w:rsidR="00844412" w:rsidRPr="00FB2D73">
        <w:t xml:space="preserve"> na kriterij konzistentnosti i unutarnje usklađenosti, kriterij </w:t>
      </w:r>
      <w:r w:rsidRPr="00FB2D73">
        <w:t>učinkovitosti</w:t>
      </w:r>
      <w:r w:rsidR="00844412" w:rsidRPr="00FB2D73">
        <w:t xml:space="preserve"> i komplementarnosti</w:t>
      </w:r>
      <w:r w:rsidRPr="00FB2D73">
        <w:t xml:space="preserve"> te </w:t>
      </w:r>
      <w:r w:rsidR="00844412" w:rsidRPr="00FB2D73">
        <w:t xml:space="preserve">kriterij djelotvornosti i učinkovitosti. Ovakav pristup prilikom vrednovanja svake </w:t>
      </w:r>
      <w:r w:rsidR="00900855">
        <w:t>inačice</w:t>
      </w:r>
      <w:r w:rsidR="00844412" w:rsidRPr="00FB2D73">
        <w:t xml:space="preserve"> zaprimljenog Nacrta omogućio je holističko i integrirano sagledavanje problematike, uz kontinuirano promišljanje kako stvoriti pretpostavke za što djelotvorniju i učinkovitiju provedbu </w:t>
      </w:r>
      <w:r w:rsidRPr="00FB2D73">
        <w:t>Strategije</w:t>
      </w:r>
      <w:r w:rsidR="00844412" w:rsidRPr="00FB2D73">
        <w:t>, kao i pretpostavke za postizanje održivosti očekivanih relevantnih učinaka</w:t>
      </w:r>
      <w:r w:rsidRPr="00FB2D73">
        <w:t xml:space="preserve"> u sektoru biogospodarstva Hrvatske</w:t>
      </w:r>
      <w:r w:rsidR="00844412" w:rsidRPr="00FB2D73">
        <w:t>.</w:t>
      </w:r>
    </w:p>
    <w:p w14:paraId="7EA34A69" w14:textId="405B87B2" w:rsidR="00844412" w:rsidRPr="00FB2D73" w:rsidRDefault="00B6387C" w:rsidP="00844412">
      <w:pPr>
        <w:spacing w:after="200" w:line="276" w:lineRule="auto"/>
        <w:jc w:val="both"/>
      </w:pPr>
      <w:r w:rsidRPr="00FB2D73">
        <w:t>S</w:t>
      </w:r>
      <w:r w:rsidR="00844412" w:rsidRPr="00FB2D73">
        <w:t>lijede zaključci vezani za nalaze vrednovanja po evaluacijskim pitanjima, u skladu s osnovnim kriterijima vrednovanja, uz naznaku ključnih preporuka upućenih Izrađivaču</w:t>
      </w:r>
      <w:r w:rsidRPr="00FB2D73">
        <w:t>, tj. timu iz Ministarstva poljoprivrede</w:t>
      </w:r>
      <w:r w:rsidR="00844412" w:rsidRPr="00FB2D73">
        <w:t xml:space="preserve"> za poboljšanje Nacrta </w:t>
      </w:r>
      <w:r w:rsidRPr="00FB2D73">
        <w:t>Strategije</w:t>
      </w:r>
      <w:r w:rsidR="00844412" w:rsidRPr="00FB2D73">
        <w:t xml:space="preserve">. </w:t>
      </w:r>
    </w:p>
    <w:p w14:paraId="7E9A80D7" w14:textId="654BD2A0" w:rsidR="008216D6" w:rsidRPr="00FB2D73" w:rsidRDefault="008216D6" w:rsidP="008216D6">
      <w:pPr>
        <w:spacing w:after="200" w:line="276" w:lineRule="auto"/>
        <w:jc w:val="both"/>
        <w:rPr>
          <w:rFonts w:cstheme="minorHAnsi"/>
        </w:rPr>
      </w:pPr>
      <w:r w:rsidRPr="00FB2D73">
        <w:rPr>
          <w:rFonts w:cstheme="minorHAnsi"/>
        </w:rPr>
        <w:t xml:space="preserve">Sagledavajući Nacrt Strategije pomoću </w:t>
      </w:r>
      <w:r w:rsidRPr="00FB2D73">
        <w:rPr>
          <w:rFonts w:cstheme="minorHAnsi"/>
          <w:b/>
        </w:rPr>
        <w:t>kriterija relevantnosti</w:t>
      </w:r>
      <w:r w:rsidRPr="00FB2D73">
        <w:rPr>
          <w:rFonts w:cstheme="minorHAnsi"/>
        </w:rPr>
        <w:t>, p</w:t>
      </w:r>
      <w:r>
        <w:rPr>
          <w:rFonts w:cstheme="minorHAnsi"/>
        </w:rPr>
        <w:t>ozornost</w:t>
      </w:r>
      <w:r w:rsidRPr="00FB2D73">
        <w:rPr>
          <w:rFonts w:cstheme="minorHAnsi"/>
        </w:rPr>
        <w:t xml:space="preserve"> je u prvom redu bila usmjerena na vrednovanje dviju izrađenih analiza – analizu stanja i SWOT analizu. Izrađivaču su bili naznačeni dijelovi teksta koje je trebalo prestrukturirati ili skratiti te je u konačnoj verziji Nacrta vidljivo da su opisi u tekstu skraćeni u mjeri u kojoj je to bilo izvedivo. Dodanim zaključcima po pojedinim poglavljima analize stanja je relevantnost analitičkog dijela </w:t>
      </w:r>
      <w:r w:rsidR="005B5D10" w:rsidRPr="00B87D94">
        <w:rPr>
          <w:rFonts w:cstheme="minorHAnsi"/>
        </w:rPr>
        <w:t>Nacrta</w:t>
      </w:r>
      <w:r w:rsidR="005B5D10" w:rsidRPr="00154905">
        <w:rPr>
          <w:rFonts w:cstheme="minorHAnsi"/>
        </w:rPr>
        <w:t xml:space="preserve"> </w:t>
      </w:r>
      <w:r w:rsidRPr="00FB2D73">
        <w:rPr>
          <w:rFonts w:cstheme="minorHAnsi"/>
        </w:rPr>
        <w:t>Strategije dodatno osnažena. U daljnjoj verziji Nacrta</w:t>
      </w:r>
      <w:r>
        <w:rPr>
          <w:rFonts w:cstheme="minorHAnsi"/>
        </w:rPr>
        <w:t xml:space="preserve">, Izrađivač je </w:t>
      </w:r>
      <w:r w:rsidRPr="00FB2D73">
        <w:rPr>
          <w:rFonts w:cstheme="minorHAnsi"/>
        </w:rPr>
        <w:t>usvoj</w:t>
      </w:r>
      <w:r>
        <w:rPr>
          <w:rFonts w:cstheme="minorHAnsi"/>
        </w:rPr>
        <w:t xml:space="preserve">io predložene </w:t>
      </w:r>
      <w:r w:rsidRPr="00FB2D73">
        <w:rPr>
          <w:rFonts w:cstheme="minorHAnsi"/>
        </w:rPr>
        <w:t>strukturn</w:t>
      </w:r>
      <w:r>
        <w:rPr>
          <w:rFonts w:cstheme="minorHAnsi"/>
        </w:rPr>
        <w:t>e</w:t>
      </w:r>
      <w:r w:rsidRPr="00FB2D73">
        <w:rPr>
          <w:rFonts w:cstheme="minorHAnsi"/>
        </w:rPr>
        <w:t>, sadržajn</w:t>
      </w:r>
      <w:r>
        <w:rPr>
          <w:rFonts w:cstheme="minorHAnsi"/>
        </w:rPr>
        <w:t>e</w:t>
      </w:r>
      <w:r w:rsidRPr="00FB2D73">
        <w:rPr>
          <w:rFonts w:cstheme="minorHAnsi"/>
        </w:rPr>
        <w:t xml:space="preserve"> i redaktorsk</w:t>
      </w:r>
      <w:r>
        <w:rPr>
          <w:rFonts w:cstheme="minorHAnsi"/>
        </w:rPr>
        <w:t>e</w:t>
      </w:r>
      <w:r w:rsidRPr="00FB2D73">
        <w:rPr>
          <w:rFonts w:cstheme="minorHAnsi"/>
        </w:rPr>
        <w:t xml:space="preserve"> komentar</w:t>
      </w:r>
      <w:r>
        <w:rPr>
          <w:rFonts w:cstheme="minorHAnsi"/>
        </w:rPr>
        <w:t>e</w:t>
      </w:r>
      <w:r w:rsidRPr="00FB2D73">
        <w:rPr>
          <w:rFonts w:cstheme="minorHAnsi"/>
        </w:rPr>
        <w:t xml:space="preserve"> tima za vrednovanje</w:t>
      </w:r>
      <w:r>
        <w:rPr>
          <w:rFonts w:cstheme="minorHAnsi"/>
        </w:rPr>
        <w:t xml:space="preserve">, te je </w:t>
      </w:r>
      <w:r w:rsidRPr="00FB2D73">
        <w:rPr>
          <w:rFonts w:cstheme="minorHAnsi"/>
        </w:rPr>
        <w:t xml:space="preserve">analiza </w:t>
      </w:r>
      <w:r>
        <w:rPr>
          <w:rFonts w:cstheme="minorHAnsi"/>
        </w:rPr>
        <w:t xml:space="preserve">postala znatno </w:t>
      </w:r>
      <w:r w:rsidRPr="00FB2D73">
        <w:rPr>
          <w:rFonts w:cstheme="minorHAnsi"/>
        </w:rPr>
        <w:t xml:space="preserve">jasnija, potpunija, čitljivija i bolje strukturirana </w:t>
      </w:r>
      <w:r>
        <w:rPr>
          <w:rFonts w:cstheme="minorHAnsi"/>
        </w:rPr>
        <w:t xml:space="preserve">- </w:t>
      </w:r>
      <w:r w:rsidRPr="00FB2D73">
        <w:rPr>
          <w:rFonts w:cstheme="minorHAnsi"/>
        </w:rPr>
        <w:t>te kao takva odgovara uobičajenom pristupu pisanja strateško</w:t>
      </w:r>
      <w:r>
        <w:rPr>
          <w:rFonts w:cstheme="minorHAnsi"/>
        </w:rPr>
        <w:t>g</w:t>
      </w:r>
      <w:r w:rsidRPr="00FB2D73">
        <w:rPr>
          <w:rFonts w:cstheme="minorHAnsi"/>
        </w:rPr>
        <w:t xml:space="preserve"> dokumenta. Tijekom javne rasprave pristigli su i o</w:t>
      </w:r>
      <w:r>
        <w:rPr>
          <w:rFonts w:cstheme="minorHAnsi"/>
        </w:rPr>
        <w:t>d</w:t>
      </w:r>
      <w:r w:rsidRPr="00FB2D73">
        <w:rPr>
          <w:rFonts w:cstheme="minorHAnsi"/>
        </w:rPr>
        <w:t xml:space="preserve"> strane izrađivača prihvaćeni dodatni inputi za poboljšanje kvalitete analize stanja. Za sažeto, relevantno i dosljedno pisanje analize stanja važna je SWOT analiza koja u prvom Nacrtu nije bila napisana u skladu s pristupom uobičajenim za takvu analizu u strateškom dokumentu. Analiza nije bila primjereno strukturirana na dijelove od koji</w:t>
      </w:r>
      <w:r>
        <w:rPr>
          <w:rFonts w:cstheme="minorHAnsi"/>
        </w:rPr>
        <w:t>h</w:t>
      </w:r>
      <w:r w:rsidRPr="00FB2D73">
        <w:rPr>
          <w:rFonts w:cstheme="minorHAnsi"/>
        </w:rPr>
        <w:t xml:space="preserve"> su tri bila </w:t>
      </w:r>
      <w:r>
        <w:rPr>
          <w:rFonts w:cstheme="minorHAnsi"/>
        </w:rPr>
        <w:t>razdvojen</w:t>
      </w:r>
      <w:r w:rsidRPr="00FB2D73">
        <w:rPr>
          <w:rFonts w:cstheme="minorHAnsi"/>
        </w:rPr>
        <w:t>a, s naglaskom na biomasu.</w:t>
      </w:r>
      <w:r>
        <w:rPr>
          <w:rFonts w:cstheme="minorHAnsi"/>
        </w:rPr>
        <w:t xml:space="preserve"> </w:t>
      </w:r>
      <w:r w:rsidRPr="00FB2D73">
        <w:rPr>
          <w:rFonts w:cstheme="minorHAnsi"/>
        </w:rPr>
        <w:t>Tim za vrednovanje je pomogao u redigiranju,</w:t>
      </w:r>
      <w:r>
        <w:rPr>
          <w:rFonts w:cstheme="minorHAnsi"/>
        </w:rPr>
        <w:t xml:space="preserve"> </w:t>
      </w:r>
      <w:r w:rsidRPr="00FB2D73">
        <w:rPr>
          <w:rFonts w:cstheme="minorHAnsi"/>
        </w:rPr>
        <w:t>cjelovitom preslagivanju i korigiranju ovog poglavlja u dva zaprimljena nacrta ove analize</w:t>
      </w:r>
      <w:r>
        <w:rPr>
          <w:rFonts w:cstheme="minorHAnsi"/>
        </w:rPr>
        <w:t>,</w:t>
      </w:r>
      <w:r w:rsidRPr="00FB2D73">
        <w:rPr>
          <w:rFonts w:cstheme="minorHAnsi"/>
        </w:rPr>
        <w:t xml:space="preserve"> te je konačna </w:t>
      </w:r>
      <w:r>
        <w:rPr>
          <w:rFonts w:cstheme="minorHAnsi"/>
        </w:rPr>
        <w:t xml:space="preserve">inačica </w:t>
      </w:r>
      <w:r w:rsidRPr="00FB2D73">
        <w:rPr>
          <w:rFonts w:cstheme="minorHAnsi"/>
        </w:rPr>
        <w:t>zadovoljavajuća i primjerena aktu strateškog planiranja.</w:t>
      </w:r>
    </w:p>
    <w:p w14:paraId="084DA7D4" w14:textId="1F9BC830" w:rsidR="008216D6" w:rsidRDefault="008216D6" w:rsidP="008216D6">
      <w:pPr>
        <w:spacing w:after="200" w:line="276" w:lineRule="auto"/>
        <w:jc w:val="both"/>
        <w:rPr>
          <w:rFonts w:cstheme="minorHAnsi"/>
        </w:rPr>
      </w:pPr>
      <w:r w:rsidRPr="00FB2D73">
        <w:rPr>
          <w:rFonts w:cstheme="minorHAnsi"/>
        </w:rPr>
        <w:t>Preporuke tima za vrednovanje</w:t>
      </w:r>
      <w:r>
        <w:rPr>
          <w:rFonts w:cstheme="minorHAnsi"/>
        </w:rPr>
        <w:t xml:space="preserve"> su prodiskutirane s Naručiteljem, te je iz zadnjeg </w:t>
      </w:r>
      <w:r w:rsidR="005B5D10">
        <w:rPr>
          <w:rFonts w:cstheme="minorHAnsi"/>
        </w:rPr>
        <w:t>N</w:t>
      </w:r>
      <w:r>
        <w:rPr>
          <w:rFonts w:cstheme="minorHAnsi"/>
        </w:rPr>
        <w:t xml:space="preserve">acrta Strategije vidljivo da je analiza stanja sveobuhvatna, da su navedeni podaci i ocjene stanja relevantne, da je napisana sažeto i jasno te da odražava ključna razvojna ograničenja u biogospodarstvu u Hrvatskoj. Analiza odražava </w:t>
      </w:r>
      <w:r>
        <w:rPr>
          <w:rFonts w:cstheme="minorHAnsi"/>
        </w:rPr>
        <w:lastRenderedPageBreak/>
        <w:t xml:space="preserve">ključne razvojne potrebe i potencijale, a analitički dio sadrži relativno recentne podatke, najvećim dijelom zaključno s krajem 2021. godine, te je ona poslužila kao relevantna osnova za izradu strateškog okvira Strategije. </w:t>
      </w:r>
    </w:p>
    <w:p w14:paraId="262C1CE6" w14:textId="77777777" w:rsidR="008216D6" w:rsidRPr="00FB2D73" w:rsidRDefault="008216D6" w:rsidP="008216D6">
      <w:pPr>
        <w:spacing w:after="200" w:line="276" w:lineRule="auto"/>
        <w:jc w:val="both"/>
        <w:rPr>
          <w:rFonts w:cstheme="minorHAnsi"/>
        </w:rPr>
      </w:pPr>
      <w:r>
        <w:rPr>
          <w:rFonts w:cstheme="minorHAnsi"/>
        </w:rPr>
        <w:t>Vezano za kriterij</w:t>
      </w:r>
      <w:r>
        <w:rPr>
          <w:rFonts w:cstheme="minorHAnsi"/>
          <w:b/>
        </w:rPr>
        <w:t xml:space="preserve"> unutarnje usklađenosti/koherentnosti </w:t>
      </w:r>
      <w:r>
        <w:rPr>
          <w:rFonts w:cstheme="minorHAnsi"/>
        </w:rPr>
        <w:t xml:space="preserve">postupkom vrednovanja je utvrđeno da u prva dva zaprimljena Nacrta Strategije nije bila u dovoljnoj mjeri vidljiva logična poveznica od problema/slabosti, koje su bile naznačene u analizi stanja i SWOT analizi sa strateškim ciljevima. Opsežna analiza stanja, opterećena dijelom manje važnim, općenitim opisima te pretjerano ekstenzivna SWOT analiza </w:t>
      </w:r>
      <w:r w:rsidRPr="00FB2D73">
        <w:rPr>
          <w:rFonts w:cstheme="minorHAnsi"/>
        </w:rPr>
        <w:t>koja je tražila doradu bila su ograničenje za postizanje poželjne vertikalne unutarnje logike u dokumentu. Provedbeni mehanizmi su međutim kvalitetno i pregledno bila prikazan</w:t>
      </w:r>
      <w:r>
        <w:rPr>
          <w:rFonts w:cstheme="minorHAnsi"/>
        </w:rPr>
        <w:t>i</w:t>
      </w:r>
      <w:r w:rsidRPr="00FB2D73">
        <w:rPr>
          <w:rFonts w:cstheme="minorHAnsi"/>
        </w:rPr>
        <w:t xml:space="preserve"> u tabličnom obliku već u prvom Nacrtu. Izrađivaču </w:t>
      </w:r>
      <w:r>
        <w:rPr>
          <w:rFonts w:cstheme="minorHAnsi"/>
        </w:rPr>
        <w:t xml:space="preserve">je sugerirano </w:t>
      </w:r>
      <w:r w:rsidRPr="00FB2D73">
        <w:rPr>
          <w:rFonts w:cstheme="minorHAnsi"/>
        </w:rPr>
        <w:t xml:space="preserve">da se u opisima sažeto osvrne na potrebe i potencijale te nalaze SWOT analize </w:t>
      </w:r>
      <w:r>
        <w:rPr>
          <w:rFonts w:cstheme="minorHAnsi"/>
        </w:rPr>
        <w:t>da se osnaži</w:t>
      </w:r>
      <w:r w:rsidRPr="00FB2D73">
        <w:rPr>
          <w:rFonts w:cstheme="minorHAnsi"/>
        </w:rPr>
        <w:t xml:space="preserve"> unutarnja interv</w:t>
      </w:r>
      <w:r>
        <w:rPr>
          <w:rFonts w:cstheme="minorHAnsi"/>
        </w:rPr>
        <w:t>encijsk</w:t>
      </w:r>
      <w:r w:rsidRPr="00FB2D73">
        <w:rPr>
          <w:rFonts w:cstheme="minorHAnsi"/>
        </w:rPr>
        <w:t>a logika.</w:t>
      </w:r>
    </w:p>
    <w:p w14:paraId="055D75D4" w14:textId="6C2C43EE" w:rsidR="008216D6" w:rsidRDefault="008216D6" w:rsidP="008216D6">
      <w:pPr>
        <w:spacing w:after="200" w:line="276" w:lineRule="auto"/>
        <w:jc w:val="both"/>
        <w:rPr>
          <w:rFonts w:cstheme="minorHAnsi"/>
        </w:rPr>
      </w:pPr>
      <w:r w:rsidRPr="00FB2D73">
        <w:rPr>
          <w:rFonts w:cstheme="minorHAnsi"/>
        </w:rPr>
        <w:t xml:space="preserve">Primjenom ovog evaluacijskog pitanja potvrđeno je da su strateški ciljevi i provedbeni mehanizmi postavljeni temeljem prethodno dobro formuliranih i relevantnih potreba. Provedbeni mehanizmi predstavljaju alate za sučeljavanje sa izazovima u ostvarenju strateških ciljeva koji proizlaze </w:t>
      </w:r>
      <w:r>
        <w:rPr>
          <w:rFonts w:cstheme="minorHAnsi"/>
        </w:rPr>
        <w:t>izravno</w:t>
      </w:r>
      <w:r w:rsidRPr="00FB2D73">
        <w:rPr>
          <w:rFonts w:cstheme="minorHAnsi"/>
        </w:rPr>
        <w:t xml:space="preserve"> iz potreba utvrđenih u dvije analize. Formuliranje jasnih potreba</w:t>
      </w:r>
      <w:r>
        <w:rPr>
          <w:rFonts w:cstheme="minorHAnsi"/>
        </w:rPr>
        <w:t xml:space="preserve"> koje su rezultat sagledavanja ključnih problema i postojećeg razvojnog potencijala u sektoru biogospodarstva izuzetno je značajno, kao osnova za izradu prijedloga mjera u narednoj fazi kada će se izrađivati Plan razvoja biogospodarstva s mjerama i aktivnostima koje će morati imati svoju vertikalnu poveznicu na potrebe i strateški okvir utvrđen u </w:t>
      </w:r>
      <w:r w:rsidR="005B5D10" w:rsidRPr="00B87D94">
        <w:rPr>
          <w:rFonts w:cstheme="minorHAnsi"/>
        </w:rPr>
        <w:t>Nacrt</w:t>
      </w:r>
      <w:r w:rsidR="005B5D10">
        <w:rPr>
          <w:rFonts w:cstheme="minorHAnsi"/>
        </w:rPr>
        <w:t>u</w:t>
      </w:r>
      <w:r w:rsidR="005B5D10" w:rsidRPr="00154905">
        <w:rPr>
          <w:rFonts w:cstheme="minorHAnsi"/>
        </w:rPr>
        <w:t xml:space="preserve"> </w:t>
      </w:r>
      <w:r>
        <w:rPr>
          <w:rFonts w:cstheme="minorHAnsi"/>
        </w:rPr>
        <w:t>Strategij</w:t>
      </w:r>
      <w:r w:rsidR="005B5D10">
        <w:rPr>
          <w:rFonts w:cstheme="minorHAnsi"/>
        </w:rPr>
        <w:t>e</w:t>
      </w:r>
      <w:r>
        <w:rPr>
          <w:rFonts w:cstheme="minorHAnsi"/>
        </w:rPr>
        <w:t>. Na osnovu navedenog, moguće je zaključiti da su strateški ciljevi i provedbeni mehanizmi utvrđeni na logičan način, te da je jasna povezanost strateškog okvira s potrebama, čime je postignuta neophodna intervencijska logika Strategije.</w:t>
      </w:r>
    </w:p>
    <w:p w14:paraId="6D7E0A6C" w14:textId="77777777" w:rsidR="008216D6" w:rsidRDefault="008216D6" w:rsidP="008216D6">
      <w:pPr>
        <w:spacing w:after="200" w:line="276" w:lineRule="auto"/>
        <w:jc w:val="both"/>
        <w:rPr>
          <w:rFonts w:cstheme="minorHAnsi"/>
        </w:rPr>
      </w:pPr>
      <w:r>
        <w:rPr>
          <w:rFonts w:cstheme="minorHAnsi"/>
          <w:bCs/>
        </w:rPr>
        <w:t>Razmatranje kriterija</w:t>
      </w:r>
      <w:r>
        <w:rPr>
          <w:rFonts w:cstheme="minorHAnsi"/>
          <w:b/>
          <w:bCs/>
        </w:rPr>
        <w:t xml:space="preserve"> vanjske usklađenosti/koherentnosti </w:t>
      </w:r>
      <w:r>
        <w:rPr>
          <w:rFonts w:cstheme="minorHAnsi"/>
          <w:bCs/>
        </w:rPr>
        <w:t>potvrdilo je da je</w:t>
      </w:r>
      <w:r>
        <w:rPr>
          <w:rFonts w:cstheme="minorHAnsi"/>
        </w:rPr>
        <w:t xml:space="preserve"> usklađenost Strategije  s ključnim nadređenim strateškim dokumentom, Nacionalnom  razvojnom strategijom RH do 2030. godine  neupitna te da je Strategija usklađena sa svim relevantnim sektorskim nacionalnim strategijama kao i nadređenim strateškim razvojnim dokumentima na EU i globalnoj razini koje se dotiču problematike biogospodarstva</w:t>
      </w:r>
      <w:r>
        <w:rPr>
          <w:rFonts w:cstheme="minorHAnsi"/>
          <w:i/>
        </w:rPr>
        <w:t xml:space="preserve">.  </w:t>
      </w:r>
      <w:r>
        <w:rPr>
          <w:rFonts w:cstheme="minorHAnsi"/>
        </w:rPr>
        <w:t xml:space="preserve">Primjerice, kad je riječ o drugim relevantnim strateškim dokumentima, usklađenost Strategije je najizraženija sa sljedećima: </w:t>
      </w:r>
    </w:p>
    <w:p w14:paraId="1762CB38" w14:textId="77777777" w:rsidR="008216D6" w:rsidRPr="00154905" w:rsidRDefault="008216D6" w:rsidP="008216D6">
      <w:pPr>
        <w:spacing w:line="276" w:lineRule="auto"/>
        <w:jc w:val="both"/>
        <w:rPr>
          <w:rFonts w:eastAsia="Calibri" w:cstheme="minorHAnsi"/>
          <w:bCs/>
          <w:i/>
          <w:iCs/>
        </w:rPr>
      </w:pPr>
      <w:r>
        <w:rPr>
          <w:rFonts w:eastAsia="Calibri" w:cstheme="minorHAnsi"/>
          <w:bCs/>
          <w:i/>
          <w:iCs/>
        </w:rPr>
        <w:t>Strategijom poljoprivrede do 2030</w:t>
      </w:r>
      <w:r>
        <w:rPr>
          <w:rFonts w:eastAsia="Calibri" w:cstheme="minorHAnsi"/>
          <w:i/>
          <w:iCs/>
        </w:rPr>
        <w:t xml:space="preserve">.; </w:t>
      </w:r>
      <w:r>
        <w:rPr>
          <w:rFonts w:eastAsia="Calibri" w:cstheme="minorHAnsi"/>
          <w:bCs/>
          <w:i/>
          <w:iCs/>
        </w:rPr>
        <w:t>Strategijom pametne specijalizacije Republike Hrvatske za razdoblje od 2016. do 2020. godine</w:t>
      </w:r>
      <w:r w:rsidRPr="00202FEB">
        <w:rPr>
          <w:rFonts w:eastAsia="Calibri" w:cstheme="minorHAnsi"/>
          <w:bCs/>
          <w:i/>
          <w:iCs/>
        </w:rPr>
        <w:t xml:space="preserve">, </w:t>
      </w:r>
      <w:r w:rsidRPr="00202FEB">
        <w:rPr>
          <w:rFonts w:cstheme="minorHAnsi"/>
        </w:rPr>
        <w:t xml:space="preserve"> </w:t>
      </w:r>
      <w:r>
        <w:rPr>
          <w:rFonts w:cstheme="minorHAnsi"/>
          <w:i/>
        </w:rPr>
        <w:t xml:space="preserve">Strategijom pametne specijalizacije do 2029. godine; </w:t>
      </w:r>
      <w:r>
        <w:rPr>
          <w:rFonts w:eastAsia="Calibri" w:cstheme="minorHAnsi"/>
          <w:bCs/>
          <w:i/>
          <w:iCs/>
        </w:rPr>
        <w:t>Strategijom niskougljičnog razvoja Republike Hrvatske do 2030. s pogledom na 2050. godinu; Strategijom energetskog razvoja Republike Hrvatske do 2030. s pogledom na 2050. godinu</w:t>
      </w:r>
      <w:r w:rsidRPr="00202FEB">
        <w:rPr>
          <w:rFonts w:eastAsia="Calibri" w:cstheme="minorHAnsi"/>
          <w:bCs/>
          <w:i/>
          <w:iCs/>
        </w:rPr>
        <w:t xml:space="preserve"> te sa </w:t>
      </w:r>
      <w:r>
        <w:rPr>
          <w:rFonts w:eastAsia="Calibri" w:cstheme="minorHAnsi"/>
          <w:bCs/>
          <w:i/>
          <w:iCs/>
        </w:rPr>
        <w:t>Strategij</w:t>
      </w:r>
      <w:r w:rsidRPr="00202FEB">
        <w:rPr>
          <w:rFonts w:eastAsia="Calibri" w:cstheme="minorHAnsi"/>
          <w:bCs/>
          <w:i/>
          <w:iCs/>
        </w:rPr>
        <w:t xml:space="preserve">om </w:t>
      </w:r>
      <w:r>
        <w:rPr>
          <w:rFonts w:eastAsia="Calibri" w:cstheme="minorHAnsi"/>
          <w:bCs/>
          <w:i/>
          <w:iCs/>
        </w:rPr>
        <w:t>biogospodarstva</w:t>
      </w:r>
      <w:r>
        <w:rPr>
          <w:rFonts w:eastAsia="Calibri" w:cstheme="minorHAnsi"/>
          <w:bCs/>
        </w:rPr>
        <w:t xml:space="preserve"> E</w:t>
      </w:r>
      <w:r w:rsidRPr="00202FEB">
        <w:rPr>
          <w:rFonts w:eastAsia="Calibri" w:cstheme="minorHAnsi"/>
          <w:bCs/>
        </w:rPr>
        <w:t>U</w:t>
      </w:r>
      <w:r>
        <w:rPr>
          <w:rFonts w:eastAsia="Calibri" w:cstheme="minorHAnsi"/>
          <w:bCs/>
        </w:rPr>
        <w:t xml:space="preserve"> iz 2018.  </w:t>
      </w:r>
    </w:p>
    <w:p w14:paraId="441AF218" w14:textId="77777777" w:rsidR="008216D6" w:rsidRPr="00154905" w:rsidRDefault="008216D6" w:rsidP="008216D6">
      <w:pPr>
        <w:spacing w:line="276" w:lineRule="auto"/>
        <w:jc w:val="both"/>
        <w:rPr>
          <w:rFonts w:eastAsia="Calibri" w:cstheme="minorHAnsi"/>
          <w:bCs/>
          <w:i/>
          <w:iCs/>
        </w:rPr>
      </w:pPr>
      <w:r>
        <w:rPr>
          <w:rFonts w:cstheme="minorHAnsi"/>
          <w:bCs/>
        </w:rPr>
        <w:t xml:space="preserve">Primjena </w:t>
      </w:r>
      <w:r>
        <w:rPr>
          <w:rFonts w:cstheme="minorHAnsi"/>
          <w:b/>
          <w:bCs/>
        </w:rPr>
        <w:t>kriterija učinkovitosti/efektivnosti</w:t>
      </w:r>
      <w:r>
        <w:rPr>
          <w:rFonts w:cstheme="minorHAnsi"/>
        </w:rPr>
        <w:t xml:space="preserve"> izuzetno je važna te se nadovezuje  dijelom i na kriterij relevantnosti, tj. poglavito na prvo, a u manjoj mjeri i na drugo evaluacijsko pitanje, s obzirom na povezanost analitičkog i strateškog dijela Strategije koji tvori unutarnju intervencijsku logiku akta strateškog planiranja. Dva pitanja postupka vrednovanja bila su usmjerena na ovaj kriterij. </w:t>
      </w:r>
      <w:r>
        <w:rPr>
          <w:rFonts w:cstheme="minorHAnsi"/>
          <w:bCs/>
        </w:rPr>
        <w:t xml:space="preserve">Izrađivaču su sugerirane  samo manje promjene kada je riječ o strateškom okviru i rješavanju razvojnih potreba u sektoru pomoću predloženih strateških ciljeva i provedbenih mehanizama. Strateški ciljevi i provedbeni mehanizmi su dobro formulirani, odgovaraju poželjnoj „hijerarhijskoj razini“, tj. vidljivo je da će se iz formuliranih strateških ciljeva moći utvrditi ciljevi nižeg ranga kao i mjere i aktivnosti u okviru predstojećeg Plana. </w:t>
      </w:r>
      <w:r>
        <w:rPr>
          <w:rFonts w:cstheme="minorHAnsi"/>
          <w:bCs/>
        </w:rPr>
        <w:lastRenderedPageBreak/>
        <w:t xml:space="preserve">Ujedno, riječ je o umjerenom broju strateških ciljeva, koji je u skladu sa načelom koncentracije, tj. usredotočenosti na ključne potrebe. Sugerirano je da se kod strateškog dijela uvrsti i institucionalni okvir te prikaže nužnost višesektorske povezanosti s obzirom da je problematika daljnjeg razvoja biogospodarstva izuzetno vezana i za djelokrug rada Ministarstva znanosti i obrazovanja kao i Ministarstva gospodarstva. </w:t>
      </w:r>
    </w:p>
    <w:p w14:paraId="58C658E3" w14:textId="01A50537" w:rsidR="008216D6" w:rsidRPr="00FB2D73" w:rsidRDefault="008216D6" w:rsidP="008216D6">
      <w:pPr>
        <w:spacing w:after="200" w:line="276" w:lineRule="auto"/>
        <w:jc w:val="both"/>
        <w:rPr>
          <w:rFonts w:cstheme="minorHAnsi"/>
        </w:rPr>
      </w:pPr>
      <w:r>
        <w:rPr>
          <w:rFonts w:cstheme="minorHAnsi"/>
          <w:bCs/>
        </w:rPr>
        <w:t>Primjenom kriterija učinkovitosti ujedno se razmatra i k</w:t>
      </w:r>
      <w:r>
        <w:rPr>
          <w:rFonts w:cstheme="minorHAnsi"/>
        </w:rPr>
        <w:t xml:space="preserve">olika je vjerojatnost da će se postavljeni ciljevi ostvariti </w:t>
      </w:r>
      <w:r w:rsidRPr="00FB2D73">
        <w:rPr>
          <w:rFonts w:cstheme="minorHAnsi"/>
        </w:rPr>
        <w:t>planiranim provedbenim mehanizmima i raspoloživim resursima te provedbenim kapacitetima</w:t>
      </w:r>
      <w:r>
        <w:rPr>
          <w:rFonts w:cstheme="minorHAnsi"/>
        </w:rPr>
        <w:t>,</w:t>
      </w:r>
      <w:r w:rsidRPr="00FB2D73">
        <w:rPr>
          <w:rFonts w:cstheme="minorHAnsi"/>
        </w:rPr>
        <w:t xml:space="preserve"> a što se dijelom razmatra i primjenom kriterija djelotvornosti u okviru posljednjeg evaluacijskog pitanja.  Moguće je zaključiti da je </w:t>
      </w:r>
      <w:r>
        <w:rPr>
          <w:rFonts w:cstheme="minorHAnsi"/>
        </w:rPr>
        <w:t>objektivno</w:t>
      </w:r>
      <w:r w:rsidRPr="00FB2D73">
        <w:rPr>
          <w:rFonts w:cstheme="minorHAnsi"/>
        </w:rPr>
        <w:t xml:space="preserve"> za očekivati </w:t>
      </w:r>
      <w:r>
        <w:rPr>
          <w:rFonts w:cstheme="minorHAnsi"/>
        </w:rPr>
        <w:t>realizaciju</w:t>
      </w:r>
      <w:r w:rsidRPr="00FB2D73">
        <w:rPr>
          <w:rFonts w:cstheme="minorHAnsi"/>
        </w:rPr>
        <w:t xml:space="preserve"> tri utvrđena strateška cilja kroz osam predloženih provedbenih mehanizama. Tijekom realizacije postupka vrednovanja korisna je i primjena pomoćnog kriterija vrednovanja – komplementarnosti s obzirom da komplementarni ciljevi i provedbeni mehanizmi imaju međusobno osnažujući efekt koji dodatno osnažuje pozitivne utjecaje primjene spomenutog integriranog/multisektorskog pristupa, a koji je u </w:t>
      </w:r>
      <w:r w:rsidR="005B5D10" w:rsidRPr="00B87D94">
        <w:rPr>
          <w:rFonts w:cstheme="minorHAnsi"/>
        </w:rPr>
        <w:t>Nacrt</w:t>
      </w:r>
      <w:r w:rsidR="005B5D10">
        <w:rPr>
          <w:rFonts w:cstheme="minorHAnsi"/>
        </w:rPr>
        <w:t xml:space="preserve">u </w:t>
      </w:r>
      <w:r w:rsidRPr="00FB2D73">
        <w:rPr>
          <w:rFonts w:cstheme="minorHAnsi"/>
        </w:rPr>
        <w:t>Strategij</w:t>
      </w:r>
      <w:r w:rsidR="005B5D10">
        <w:rPr>
          <w:rFonts w:cstheme="minorHAnsi"/>
        </w:rPr>
        <w:t>e</w:t>
      </w:r>
      <w:r w:rsidRPr="00FB2D73">
        <w:rPr>
          <w:rFonts w:cstheme="minorHAnsi"/>
        </w:rPr>
        <w:t xml:space="preserve"> i istaknut. Postupkom vrednovanja je utvrđeno da su ciljevi i provedbeni mehanizmi definirani na način da je vidljiva njihova komplementarnost, tj. međusobna povezanost, a koja će pridonijeti u cjelini njihovoj učinkovitijoj i  djelotvornijoj realizaciji, tj. uspješnijoj provedbi Strategije. </w:t>
      </w:r>
    </w:p>
    <w:p w14:paraId="4C4CD1F5" w14:textId="32C5BB0A" w:rsidR="008216D6" w:rsidRDefault="008216D6" w:rsidP="008216D6">
      <w:pPr>
        <w:spacing w:after="200" w:line="276" w:lineRule="auto"/>
        <w:jc w:val="both"/>
        <w:rPr>
          <w:rFonts w:cstheme="minorHAnsi"/>
        </w:rPr>
      </w:pPr>
      <w:r w:rsidRPr="00FB2D73">
        <w:rPr>
          <w:rFonts w:cstheme="minorHAnsi"/>
          <w:bCs/>
        </w:rPr>
        <w:t>Slijedom primjene</w:t>
      </w:r>
      <w:r>
        <w:rPr>
          <w:rFonts w:cstheme="minorHAnsi"/>
          <w:bCs/>
        </w:rPr>
        <w:t xml:space="preserve"> ovog evaluacijskog pitanja, potvrđena je usklađenost strateških ciljeva i provedbenih mehanizama s ranije istaknutim razvojnim potrebama i potencijalima. Nakon uvažavanja manjih sugestija tima za vrednovanje u ovom dijelu </w:t>
      </w:r>
      <w:r w:rsidR="005B5D10" w:rsidRPr="00B87D94">
        <w:rPr>
          <w:rFonts w:cstheme="minorHAnsi"/>
        </w:rPr>
        <w:t>Nacrta</w:t>
      </w:r>
      <w:r w:rsidR="005B5D10" w:rsidRPr="00154905">
        <w:rPr>
          <w:rFonts w:cstheme="minorHAnsi"/>
        </w:rPr>
        <w:t xml:space="preserve"> </w:t>
      </w:r>
      <w:r>
        <w:rPr>
          <w:rFonts w:cstheme="minorHAnsi"/>
          <w:bCs/>
        </w:rPr>
        <w:t xml:space="preserve">Strategije, vrednovanje je potvrdilo da je ova usklađenost potpuna i  zadovoljavajuća. Ujedno, </w:t>
      </w:r>
      <w:r>
        <w:rPr>
          <w:rFonts w:cstheme="minorHAnsi"/>
        </w:rPr>
        <w:t xml:space="preserve">utvrđeno je da su ciljevi i provedbeni mehanizmi definirani na način da je vidljiva njihova komplementarnost, tj. međusobna povezanost, a koja će pridonijeti u cjelini  njihovoj učinkovitijoj i  djelotvornijoj realizaciji, tj. uspješnijoj provedbi Strategije.  </w:t>
      </w:r>
    </w:p>
    <w:p w14:paraId="3A1F8782" w14:textId="7C1E71AB" w:rsidR="008216D6" w:rsidRPr="00E032F0" w:rsidRDefault="008216D6" w:rsidP="008216D6">
      <w:pPr>
        <w:spacing w:after="200" w:line="276" w:lineRule="auto"/>
        <w:jc w:val="both"/>
        <w:rPr>
          <w:rFonts w:cstheme="minorHAnsi"/>
          <w:b/>
        </w:rPr>
      </w:pPr>
      <w:r w:rsidRPr="00E032F0">
        <w:rPr>
          <w:rFonts w:cstheme="minorHAnsi"/>
        </w:rPr>
        <w:t xml:space="preserve">Prvotno definirani pokazatelji učinka nakon rasprave izrađivača, tima za vrednovanje i relevantnih institucija dopunjeni su pokazateljem Dodana vrijednost po zaposlenom u biogospodarstvu. Tim za vrednovanje ostaje na stajalištu da prva dva ponuđena pokazatelje nisu pokazatelji učinka i treba ih izostaviti. Također, </w:t>
      </w:r>
      <w:r>
        <w:rPr>
          <w:rFonts w:cstheme="minorHAnsi"/>
        </w:rPr>
        <w:t xml:space="preserve">tim za </w:t>
      </w:r>
      <w:r w:rsidR="005270D3">
        <w:rPr>
          <w:rFonts w:cstheme="minorHAnsi"/>
        </w:rPr>
        <w:t>vrednovanje</w:t>
      </w:r>
      <w:r>
        <w:rPr>
          <w:rFonts w:cstheme="minorHAnsi"/>
        </w:rPr>
        <w:t xml:space="preserve"> </w:t>
      </w:r>
      <w:r w:rsidRPr="00E032F0">
        <w:rPr>
          <w:rFonts w:cstheme="minorHAnsi"/>
        </w:rPr>
        <w:t>predlaže se da se za pokazatelje</w:t>
      </w:r>
      <w:r>
        <w:rPr>
          <w:rFonts w:cstheme="minorHAnsi"/>
        </w:rPr>
        <w:t xml:space="preserve"> </w:t>
      </w:r>
      <w:r w:rsidRPr="00E032F0">
        <w:rPr>
          <w:rFonts w:cstheme="minorHAnsi"/>
        </w:rPr>
        <w:t xml:space="preserve">Dodana vrijednost biogospodarstva i Dodana vrijednost po zaposlenom u biogospodarstvu od MRRFEU zatraži njihovo uključivanje u biblioteku pokazatelja učinka. </w:t>
      </w:r>
    </w:p>
    <w:p w14:paraId="669E6875" w14:textId="619C0F25" w:rsidR="008216D6" w:rsidRPr="0047683B" w:rsidRDefault="008216D6" w:rsidP="008216D6">
      <w:pPr>
        <w:spacing w:after="200" w:line="276" w:lineRule="auto"/>
        <w:jc w:val="both"/>
        <w:rPr>
          <w:rFonts w:cstheme="minorHAnsi"/>
          <w:bCs/>
        </w:rPr>
      </w:pPr>
      <w:r>
        <w:rPr>
          <w:rFonts w:cstheme="minorHAnsi"/>
          <w:bCs/>
        </w:rPr>
        <w:t>Sagledavanje učinkovitosti zahtijeva i procjenu razine uključenosti ključnih dionika u proces izrade Strategije. Snažno partnerstvo koje je poželjno razviti tijekom procesa izrade Strategije je presudno za njenu učinkovitu provedbu tj. za postizanje održivih i relevantnih učinaka. Kvalitetan proces konzultacija s ključnim dionicima, a koji podrazumijeva i učinkovitu koordinaciju, osnažuje osjećaj odgovornosti i „vlasništva“ u odnosu na izrađen</w:t>
      </w:r>
      <w:r w:rsidR="005B5D10">
        <w:rPr>
          <w:rFonts w:cstheme="minorHAnsi"/>
          <w:bCs/>
        </w:rPr>
        <w:t xml:space="preserve"> </w:t>
      </w:r>
      <w:r w:rsidR="005B5D10" w:rsidRPr="00B87D94">
        <w:rPr>
          <w:rFonts w:cstheme="minorHAnsi"/>
        </w:rPr>
        <w:t>Nacrt</w:t>
      </w:r>
      <w:r>
        <w:rPr>
          <w:rFonts w:cstheme="minorHAnsi"/>
          <w:bCs/>
        </w:rPr>
        <w:t xml:space="preserve"> Strategij</w:t>
      </w:r>
      <w:r w:rsidR="005B5D10">
        <w:rPr>
          <w:rFonts w:cstheme="minorHAnsi"/>
          <w:bCs/>
        </w:rPr>
        <w:t>e</w:t>
      </w:r>
      <w:r>
        <w:rPr>
          <w:rFonts w:cstheme="minorHAnsi"/>
          <w:bCs/>
        </w:rPr>
        <w:t xml:space="preserve"> te je temeljem uspostavljenog svrsishodnog partnerstva, uključujući u prvom redu ono međuresorno, u ovoj fazi moguće pretpostaviti da će biti moguće ostvariti strateške ciljeve i učinke planirane Strategijom. Do sada primijenjen,  participativan proces u tom je smislu bitan </w:t>
      </w:r>
      <w:r w:rsidRPr="00FB2D73">
        <w:rPr>
          <w:rFonts w:cstheme="minorHAnsi"/>
          <w:bCs/>
        </w:rPr>
        <w:t>faktor ostvarenja strateških ciljeva. Ključni dionici</w:t>
      </w:r>
      <w:r w:rsidRPr="0042150B">
        <w:rPr>
          <w:rFonts w:cstheme="minorHAnsi"/>
          <w:bCs/>
        </w:rPr>
        <w:t xml:space="preserve"> bili </w:t>
      </w:r>
      <w:r>
        <w:rPr>
          <w:rFonts w:cstheme="minorHAnsi"/>
          <w:bCs/>
        </w:rPr>
        <w:t xml:space="preserve">su </w:t>
      </w:r>
      <w:r w:rsidRPr="0042150B">
        <w:rPr>
          <w:rFonts w:cstheme="minorHAnsi"/>
          <w:bCs/>
        </w:rPr>
        <w:t xml:space="preserve">konzultirani i uključeni u pripremu </w:t>
      </w:r>
      <w:r w:rsidR="005B5D10" w:rsidRPr="00B87D94">
        <w:rPr>
          <w:rFonts w:cstheme="minorHAnsi"/>
        </w:rPr>
        <w:t>Nacrta</w:t>
      </w:r>
      <w:r w:rsidR="005B5D10" w:rsidRPr="00154905">
        <w:rPr>
          <w:rFonts w:cstheme="minorHAnsi"/>
        </w:rPr>
        <w:t xml:space="preserve"> </w:t>
      </w:r>
      <w:r w:rsidRPr="0042150B">
        <w:rPr>
          <w:rFonts w:cstheme="minorHAnsi"/>
          <w:bCs/>
        </w:rPr>
        <w:t>Strategije</w:t>
      </w:r>
      <w:r w:rsidRPr="0042150B">
        <w:rPr>
          <w:rFonts w:cstheme="minorHAnsi"/>
          <w:bCs/>
          <w:i/>
        </w:rPr>
        <w:t xml:space="preserve">. </w:t>
      </w:r>
      <w:r w:rsidRPr="00617942">
        <w:rPr>
          <w:rFonts w:cstheme="minorHAnsi"/>
          <w:bCs/>
        </w:rPr>
        <w:t>Radilo se o predanom i</w:t>
      </w:r>
      <w:r w:rsidRPr="0042150B">
        <w:rPr>
          <w:rFonts w:cstheme="minorHAnsi"/>
          <w:bCs/>
        </w:rPr>
        <w:t xml:space="preserve"> vrlo angažirano</w:t>
      </w:r>
      <w:r>
        <w:rPr>
          <w:rFonts w:cstheme="minorHAnsi"/>
          <w:bCs/>
        </w:rPr>
        <w:t>m</w:t>
      </w:r>
      <w:r w:rsidRPr="0042150B">
        <w:rPr>
          <w:rFonts w:cstheme="minorHAnsi"/>
          <w:bCs/>
        </w:rPr>
        <w:t xml:space="preserve"> sudjelovanj</w:t>
      </w:r>
      <w:r>
        <w:rPr>
          <w:rFonts w:cstheme="minorHAnsi"/>
          <w:bCs/>
        </w:rPr>
        <w:t>u</w:t>
      </w:r>
      <w:r w:rsidRPr="0042150B">
        <w:rPr>
          <w:rFonts w:cstheme="minorHAnsi"/>
          <w:bCs/>
        </w:rPr>
        <w:t xml:space="preserve"> predstavnika iz četiri ministarstva - poljoprivrede, znanosti i obrazovanja, gospodarstva i regionalnoga razvoja i EU fondova</w:t>
      </w:r>
      <w:r>
        <w:rPr>
          <w:rFonts w:cstheme="minorHAnsi"/>
          <w:bCs/>
        </w:rPr>
        <w:t xml:space="preserve">. </w:t>
      </w:r>
      <w:r w:rsidRPr="00617942">
        <w:rPr>
          <w:rFonts w:cstheme="minorHAnsi"/>
          <w:bCs/>
        </w:rPr>
        <w:t xml:space="preserve">Uz to,  održane su rasprave kroz 5. regionalnih sjednica u razdoblju od  listopada 2022. do travnja 2023. godine,  te </w:t>
      </w:r>
      <w:r>
        <w:rPr>
          <w:rFonts w:cstheme="minorHAnsi"/>
          <w:bCs/>
        </w:rPr>
        <w:t>je</w:t>
      </w:r>
      <w:r w:rsidRPr="00617942">
        <w:rPr>
          <w:rFonts w:cstheme="minorHAnsi"/>
          <w:bCs/>
        </w:rPr>
        <w:t xml:space="preserve"> svoj </w:t>
      </w:r>
      <w:r w:rsidRPr="00617942">
        <w:rPr>
          <w:rFonts w:cstheme="minorHAnsi"/>
          <w:bCs/>
        </w:rPr>
        <w:lastRenderedPageBreak/>
        <w:t>doprinos izradi Nacrta Strategije dal</w:t>
      </w:r>
      <w:r>
        <w:rPr>
          <w:rFonts w:cstheme="minorHAnsi"/>
          <w:bCs/>
        </w:rPr>
        <w:t>o 47</w:t>
      </w:r>
      <w:r w:rsidRPr="00617942">
        <w:rPr>
          <w:rFonts w:cstheme="minorHAnsi"/>
          <w:bCs/>
        </w:rPr>
        <w:t xml:space="preserve"> članov</w:t>
      </w:r>
      <w:r>
        <w:rPr>
          <w:rFonts w:cstheme="minorHAnsi"/>
          <w:bCs/>
        </w:rPr>
        <w:t>a</w:t>
      </w:r>
      <w:r w:rsidRPr="00617942">
        <w:rPr>
          <w:rFonts w:cstheme="minorHAnsi"/>
          <w:bCs/>
        </w:rPr>
        <w:t xml:space="preserve"> Stručne radne skupine. Spomenuto potvrđuje da se radilo o naglašeno participativnom procesu tijekom izrade Nacrta </w:t>
      </w:r>
      <w:r w:rsidRPr="007B0BCF">
        <w:rPr>
          <w:rFonts w:cstheme="minorHAnsi"/>
          <w:bCs/>
        </w:rPr>
        <w:t xml:space="preserve">Strategije koji je podrazumijevao uključenost </w:t>
      </w:r>
      <w:r w:rsidRPr="0047683B">
        <w:rPr>
          <w:rFonts w:cstheme="minorHAnsi"/>
          <w:bCs/>
        </w:rPr>
        <w:t>svih relevantnih dionika na svim razinama. Također, s</w:t>
      </w:r>
      <w:r w:rsidRPr="0047683B">
        <w:rPr>
          <w:rFonts w:cstheme="minorHAnsi"/>
        </w:rPr>
        <w:t xml:space="preserve"> obzirom da je djelotvorna koordinacija od presudnog značaja za kvalitetnu provedbu Strategije, inicijativu osnivanja Koordinacijskog tijela sastavljenog od tijela državne uprave nadležnih za pojedini segment biogospodarstva smatramo  vrlo značajnom.  </w:t>
      </w:r>
    </w:p>
    <w:p w14:paraId="14ED32E2" w14:textId="59E13F2C" w:rsidR="005270D3" w:rsidRPr="0047683B" w:rsidRDefault="005270D3" w:rsidP="005270D3">
      <w:pPr>
        <w:spacing w:after="200" w:line="276" w:lineRule="auto"/>
        <w:jc w:val="both"/>
        <w:rPr>
          <w:rFonts w:cstheme="minorHAnsi"/>
          <w:bCs/>
        </w:rPr>
      </w:pPr>
      <w:r w:rsidRPr="0047683B">
        <w:rPr>
          <w:rFonts w:cstheme="minorHAnsi"/>
          <w:bCs/>
        </w:rPr>
        <w:t xml:space="preserve">Vezano za pokazatelje, pokazatelji koje je predložila Stručna radne skupina i izrađivač </w:t>
      </w:r>
      <w:r w:rsidRPr="0047683B">
        <w:rPr>
          <w:rFonts w:cstheme="minorHAnsi"/>
          <w:bCs/>
          <w:i/>
        </w:rPr>
        <w:t>Godišnje izvješće o napretku biogospodarstva i Uspostava distribucijskih centara za biomasu</w:t>
      </w:r>
      <w:r w:rsidRPr="0047683B">
        <w:rPr>
          <w:rFonts w:cstheme="minorHAnsi"/>
          <w:bCs/>
        </w:rPr>
        <w:t xml:space="preserve"> </w:t>
      </w:r>
      <w:r w:rsidR="00F67F16" w:rsidRPr="0047683B">
        <w:rPr>
          <w:rFonts w:cstheme="minorHAnsi"/>
          <w:bCs/>
        </w:rPr>
        <w:t>su</w:t>
      </w:r>
      <w:r w:rsidRPr="0047683B">
        <w:rPr>
          <w:rFonts w:cstheme="minorHAnsi"/>
          <w:bCs/>
        </w:rPr>
        <w:t xml:space="preserve"> više pokazatelji rezultata te, njima, po mišljenju tima za vrednovanje, neće biti  moguće pratiti provedbu Strategije. </w:t>
      </w:r>
    </w:p>
    <w:p w14:paraId="6AC5B55B" w14:textId="432A25CB" w:rsidR="005270D3" w:rsidRPr="0047683B" w:rsidRDefault="005270D3" w:rsidP="005270D3">
      <w:pPr>
        <w:spacing w:after="200" w:line="276" w:lineRule="auto"/>
        <w:jc w:val="both"/>
        <w:rPr>
          <w:rFonts w:cstheme="minorHAnsi"/>
          <w:bCs/>
          <w:color w:val="FF0000"/>
          <w:sz w:val="28"/>
          <w:szCs w:val="28"/>
        </w:rPr>
      </w:pPr>
      <w:r w:rsidRPr="0047683B">
        <w:rPr>
          <w:rFonts w:cstheme="minorHAnsi"/>
          <w:bCs/>
        </w:rPr>
        <w:t xml:space="preserve">Predložene pokazatelje </w:t>
      </w:r>
      <w:r w:rsidRPr="0047683B">
        <w:rPr>
          <w:rFonts w:cstheme="minorHAnsi"/>
          <w:bCs/>
          <w:i/>
        </w:rPr>
        <w:t>Dodana vrijednost biogospodarstva i Dodana vrijednost po zaposlenom u biogospodarstvu</w:t>
      </w:r>
      <w:r w:rsidRPr="0047683B">
        <w:rPr>
          <w:rFonts w:cstheme="minorHAnsi"/>
          <w:bCs/>
        </w:rPr>
        <w:t xml:space="preserve"> treba </w:t>
      </w:r>
      <w:r w:rsidR="00F67F16" w:rsidRPr="0047683B">
        <w:rPr>
          <w:rFonts w:cstheme="minorHAnsi"/>
          <w:bCs/>
        </w:rPr>
        <w:t xml:space="preserve">uz suglasnost </w:t>
      </w:r>
      <w:r w:rsidRPr="0047683B">
        <w:rPr>
          <w:rFonts w:cstheme="minorHAnsi"/>
          <w:bCs/>
        </w:rPr>
        <w:t>MRRFEU</w:t>
      </w:r>
      <w:r w:rsidR="00F67F16" w:rsidRPr="0047683B">
        <w:rPr>
          <w:rFonts w:cstheme="minorHAnsi"/>
          <w:bCs/>
        </w:rPr>
        <w:t xml:space="preserve"> uvrstiti u</w:t>
      </w:r>
      <w:r w:rsidRPr="0047683B">
        <w:rPr>
          <w:rFonts w:cstheme="minorHAnsi"/>
          <w:bCs/>
        </w:rPr>
        <w:t xml:space="preserve"> Biblioteku pokazatelja. </w:t>
      </w:r>
      <w:r w:rsidR="00F67F16" w:rsidRPr="0047683B">
        <w:rPr>
          <w:rFonts w:cstheme="minorHAnsi"/>
          <w:bCs/>
        </w:rPr>
        <w:t xml:space="preserve">Time bi se osiguralo </w:t>
      </w:r>
      <w:r w:rsidRPr="0047683B">
        <w:rPr>
          <w:rFonts w:cstheme="minorHAnsi"/>
          <w:bCs/>
        </w:rPr>
        <w:t xml:space="preserve"> praćenje učinaka poredbe strateških ciljeva na nacionalnoj razini.</w:t>
      </w:r>
    </w:p>
    <w:p w14:paraId="1597DAFB" w14:textId="4733E3FB" w:rsidR="008216D6" w:rsidRPr="00FB2D73" w:rsidRDefault="008216D6" w:rsidP="005B5D10">
      <w:pPr>
        <w:spacing w:after="200" w:line="276" w:lineRule="auto"/>
        <w:jc w:val="both"/>
        <w:rPr>
          <w:rFonts w:cstheme="minorHAnsi"/>
          <w:i/>
        </w:rPr>
      </w:pPr>
      <w:r w:rsidRPr="0047683B">
        <w:rPr>
          <w:rFonts w:cstheme="minorHAnsi"/>
          <w:b/>
          <w:bCs/>
        </w:rPr>
        <w:t xml:space="preserve">Kriterijem djelotvornosti/efikasnosti </w:t>
      </w:r>
      <w:r w:rsidRPr="0047683B">
        <w:rPr>
          <w:rFonts w:cstheme="minorHAnsi"/>
        </w:rPr>
        <w:t>razmatralo se jesu li financijski, institucionalni i ljudski resursi</w:t>
      </w:r>
      <w:r>
        <w:rPr>
          <w:rFonts w:cstheme="minorHAnsi"/>
        </w:rPr>
        <w:t xml:space="preserve"> predviđeni za provedbu Strategije jasno identificirani i dovoljni za provedbu. Načelnu osnovu za ovu prosudbu moguće je dati temeljem obrazloženog u Poglavlju 7. Strategije (</w:t>
      </w:r>
      <w:r>
        <w:rPr>
          <w:rFonts w:cstheme="minorHAnsi"/>
          <w:i/>
        </w:rPr>
        <w:t>Mogućnosti financiranja),</w:t>
      </w:r>
      <w:r>
        <w:rPr>
          <w:rFonts w:cstheme="minorHAnsi"/>
        </w:rPr>
        <w:t xml:space="preserve"> te u Dodatku 2. </w:t>
      </w:r>
      <w:r>
        <w:rPr>
          <w:rFonts w:cstheme="minorHAnsi"/>
          <w:i/>
        </w:rPr>
        <w:t>(Mogućnosti financiranja projekata u biogospodarstvu u programskom razdoblju do 2027. godine).</w:t>
      </w:r>
      <w:r>
        <w:rPr>
          <w:rFonts w:cstheme="minorHAnsi"/>
        </w:rPr>
        <w:t xml:space="preserve"> </w:t>
      </w:r>
      <w:r>
        <w:rPr>
          <w:rFonts w:eastAsia="Calibri" w:cstheme="minorHAnsi"/>
        </w:rPr>
        <w:t xml:space="preserve">U poglavlju 7. se daje pregled mogućih izvora financiranja u razdoblju do 2027. godine, za koje su pripremljeni planski dokumenti za korištenje sredstava EU fondova. Vidljivo je da će se ostvarenje strateških ciljeva podupirati prvenstveno iz EU financiranih programa, uz sufinanciranje iz Državnog proračuna. U ovom trenutku nije moguće dati podatke o financiranju za cijelo razdoblje provedbe </w:t>
      </w:r>
      <w:r>
        <w:rPr>
          <w:rFonts w:eastAsia="Calibri" w:cstheme="minorHAnsi"/>
          <w:i/>
        </w:rPr>
        <w:t>Strategije</w:t>
      </w:r>
      <w:r>
        <w:rPr>
          <w:rFonts w:eastAsia="Calibri" w:cstheme="minorHAnsi"/>
        </w:rPr>
        <w:t>, odnosno za naredno programsko razdoblje (2028.-2035). Međutim, izvjesno je da će u prvoj fazi realizacije Strategije sredstva biti dostupna s obzirom da su projekti iz područja biogospodarstva prvenstveno prihvatljivi za potpore iz Europskog fonda za regionalni razvoj, Kohezijskog fonda, Europskog poljoprivrednog fonda za ruralni razvoj i Modernizacijskog fonda te iz nacionalnih sredstava (</w:t>
      </w:r>
      <w:r w:rsidRPr="00FB2D73">
        <w:rPr>
          <w:rFonts w:eastAsia="Calibri" w:cstheme="minorHAnsi"/>
        </w:rPr>
        <w:t xml:space="preserve">primjerice iz Fonda za zaštitu okoliša i energetsku učinkovitost). Preostali izvjesni izvori sredstava su slijedeći: tri specifična cilja iz Programa  konkurentnost i kohezija 2021. – 2027.; niz intervencija iz Strateškog plana zajedničke poljoprivredne politike 2023.-2027. ; Modernizacijski fond kojim se  podupiru programi potpore kojima je cilj postizanje klimatske neutralnosti i unaprjeđenje energetske učinkovitosti; Fonda za zaštitu okoliša i energetsku učinkovitost te proračuni jedinca lokalne i područne (regionalne) samouprave s obzirom da  je vidljivo u recentnim planovima razvoja da županije i gradovi često predviđaju prioritete, strateške projekte i aktivnosti u području biogospodarstva te financijska sredstva za njihovo ostvarivanje. </w:t>
      </w:r>
    </w:p>
    <w:p w14:paraId="7DB87AA3" w14:textId="77777777" w:rsidR="008216D6" w:rsidRPr="00FB2D73" w:rsidRDefault="008216D6" w:rsidP="005B5D10">
      <w:pPr>
        <w:spacing w:after="200" w:line="276" w:lineRule="auto"/>
        <w:jc w:val="both"/>
        <w:rPr>
          <w:rFonts w:eastAsia="Calibri" w:cstheme="minorHAnsi"/>
        </w:rPr>
      </w:pPr>
      <w:r w:rsidRPr="00FB2D73">
        <w:rPr>
          <w:rFonts w:eastAsia="Calibri" w:cstheme="minorHAnsi"/>
        </w:rPr>
        <w:t>Temeljem primjene kriterija djelotvornosti tijekom realizacije postupka vrednovanja vidljivo je da su</w:t>
      </w:r>
      <w:r w:rsidRPr="00FB2D73">
        <w:rPr>
          <w:rFonts w:cstheme="minorHAnsi"/>
        </w:rPr>
        <w:t xml:space="preserve"> financijski, institucionalni i ljudski resursi predviđeni za provedbu Strategije jasno identificirani i dovoljni za provedbu te da je institucionalni sustav  kvalitetno osposobljen i adekvatan.</w:t>
      </w:r>
      <w:r w:rsidRPr="00FB2D73">
        <w:rPr>
          <w:rFonts w:eastAsia="Calibri" w:cstheme="minorHAnsi"/>
        </w:rPr>
        <w:t xml:space="preserve"> Dodatno, zbog  specifičnosti problematike biogospodarstva, koja je izuzetno vezana za niz relevantnih razvojnih javnih politika,  međuresorna suradnja i kontinuirana djelotvorna koordinacija izuzetno su značajni za daljnji uspješan i dugoročan razvoj sektora. </w:t>
      </w:r>
    </w:p>
    <w:p w14:paraId="2945CCE8" w14:textId="152160B1" w:rsidR="008216D6" w:rsidRPr="00FB2D73" w:rsidRDefault="008216D6" w:rsidP="005B5D10">
      <w:pPr>
        <w:spacing w:after="200" w:line="276" w:lineRule="auto"/>
        <w:jc w:val="both"/>
        <w:rPr>
          <w:rFonts w:asciiTheme="majorHAnsi" w:hAnsiTheme="majorHAnsi" w:cstheme="majorHAnsi"/>
          <w:b/>
          <w:color w:val="2E74B5" w:themeColor="accent1" w:themeShade="BF"/>
          <w:sz w:val="28"/>
          <w:szCs w:val="28"/>
        </w:rPr>
      </w:pPr>
      <w:r w:rsidRPr="00FB2D73">
        <w:rPr>
          <w:rFonts w:eastAsia="Calibri" w:cstheme="minorHAnsi"/>
        </w:rPr>
        <w:br w:type="column"/>
      </w:r>
      <w:r w:rsidRPr="00FB2D73">
        <w:rPr>
          <w:rFonts w:asciiTheme="majorHAnsi" w:hAnsiTheme="majorHAnsi" w:cstheme="majorHAnsi"/>
          <w:b/>
          <w:color w:val="2E74B5" w:themeColor="accent1" w:themeShade="BF"/>
          <w:sz w:val="28"/>
          <w:szCs w:val="28"/>
        </w:rPr>
        <w:lastRenderedPageBreak/>
        <w:tab/>
      </w:r>
      <w:r w:rsidRPr="00FB2D73">
        <w:rPr>
          <w:rFonts w:asciiTheme="majorHAnsi" w:hAnsiTheme="majorHAnsi" w:cstheme="majorHAnsi"/>
          <w:b/>
          <w:color w:val="2E74B5" w:themeColor="accent1" w:themeShade="BF"/>
          <w:sz w:val="28"/>
          <w:szCs w:val="28"/>
        </w:rPr>
        <w:tab/>
      </w:r>
    </w:p>
    <w:p w14:paraId="20C787B0" w14:textId="7162A306" w:rsidR="00EE3A5F" w:rsidRPr="00224015" w:rsidRDefault="00F67CF9" w:rsidP="00D37C41">
      <w:pPr>
        <w:pStyle w:val="Naslov1"/>
        <w:rPr>
          <w:b/>
        </w:rPr>
      </w:pPr>
      <w:r>
        <w:rPr>
          <w:b/>
        </w:rPr>
        <w:t>7</w:t>
      </w:r>
      <w:r w:rsidR="00EE3A5F" w:rsidRPr="00224015">
        <w:rPr>
          <w:b/>
        </w:rPr>
        <w:t xml:space="preserve">. POUKE POSTUPKA VREDNOVANJA </w:t>
      </w:r>
    </w:p>
    <w:p w14:paraId="6FBADF4C" w14:textId="77777777" w:rsidR="00D37C41" w:rsidRDefault="00D37C41" w:rsidP="00EE3A5F">
      <w:pPr>
        <w:spacing w:after="200" w:line="276" w:lineRule="auto"/>
        <w:jc w:val="both"/>
        <w:rPr>
          <w:rFonts w:cstheme="minorHAnsi"/>
          <w:lang w:eastAsia="hr-HR"/>
        </w:rPr>
      </w:pPr>
    </w:p>
    <w:p w14:paraId="5DB92528" w14:textId="7462160D" w:rsidR="00361941" w:rsidRPr="00FB2D73" w:rsidRDefault="00361941" w:rsidP="00361941">
      <w:pPr>
        <w:spacing w:after="200" w:line="276" w:lineRule="auto"/>
        <w:jc w:val="both"/>
        <w:rPr>
          <w:rFonts w:cstheme="minorHAnsi"/>
          <w:lang w:eastAsia="hr-HR"/>
        </w:rPr>
      </w:pPr>
      <w:r w:rsidRPr="00FB2D73">
        <w:rPr>
          <w:rFonts w:cstheme="minorHAnsi"/>
          <w:lang w:eastAsia="hr-HR"/>
        </w:rPr>
        <w:t xml:space="preserve">Tijekom procesa izrade </w:t>
      </w:r>
      <w:r w:rsidR="005B5D10" w:rsidRPr="00B87D94">
        <w:rPr>
          <w:rFonts w:cstheme="minorHAnsi"/>
        </w:rPr>
        <w:t>Nacrta</w:t>
      </w:r>
      <w:r w:rsidR="005B5D10" w:rsidRPr="00154905">
        <w:rPr>
          <w:rFonts w:cstheme="minorHAnsi"/>
        </w:rPr>
        <w:t xml:space="preserve"> </w:t>
      </w:r>
      <w:r w:rsidRPr="00FB2D73">
        <w:rPr>
          <w:rFonts w:cstheme="minorHAnsi"/>
          <w:lang w:eastAsia="hr-HR"/>
        </w:rPr>
        <w:t>Strategije održano je nekoliko sastanaka, te je uspostavljena kontinuirana i dinamična komunikacija s timom Izrađivača iz Ministarstva poljoprivrede na kojima je bilo moguće raspraviti sve dileme</w:t>
      </w:r>
      <w:r>
        <w:rPr>
          <w:rFonts w:cstheme="minorHAnsi"/>
          <w:lang w:eastAsia="hr-HR"/>
        </w:rPr>
        <w:t>, te konceptualno-</w:t>
      </w:r>
      <w:r w:rsidRPr="00FB2D73">
        <w:rPr>
          <w:rFonts w:cstheme="minorHAnsi"/>
          <w:lang w:eastAsia="hr-HR"/>
        </w:rPr>
        <w:t>sadržajna pitanja vezan</w:t>
      </w:r>
      <w:r>
        <w:rPr>
          <w:rFonts w:cstheme="minorHAnsi"/>
          <w:lang w:eastAsia="hr-HR"/>
        </w:rPr>
        <w:t>a</w:t>
      </w:r>
      <w:r w:rsidRPr="00FB2D73">
        <w:rPr>
          <w:rFonts w:cstheme="minorHAnsi"/>
          <w:lang w:eastAsia="hr-HR"/>
        </w:rPr>
        <w:t xml:space="preserve"> za provedbu postupka vrednovanja. U tom smislu, tim za vrednovanje nije naišao ni na kakva bitnija ograničenja niti izazove u realizaciji svog posl</w:t>
      </w:r>
      <w:r>
        <w:rPr>
          <w:rFonts w:cstheme="minorHAnsi"/>
          <w:lang w:eastAsia="hr-HR"/>
        </w:rPr>
        <w:t xml:space="preserve">a, već na konstruktivnu, podupiruću suradnju. </w:t>
      </w:r>
    </w:p>
    <w:p w14:paraId="20A0FCF1" w14:textId="77777777" w:rsidR="00361941" w:rsidRPr="003045D3" w:rsidRDefault="00361941" w:rsidP="00361941">
      <w:pPr>
        <w:spacing w:after="200" w:line="276" w:lineRule="auto"/>
        <w:jc w:val="both"/>
        <w:rPr>
          <w:rFonts w:cstheme="minorHAnsi"/>
          <w:lang w:eastAsia="hr-HR"/>
        </w:rPr>
      </w:pPr>
      <w:r w:rsidRPr="00FB2D73">
        <w:rPr>
          <w:rFonts w:cstheme="minorHAnsi"/>
          <w:lang w:eastAsia="hr-HR"/>
        </w:rPr>
        <w:t>Reakcije tima Izrađivača na zaprimljene komentare od strane tima za vrednovanje koje su bile unesene pismenim putem u tekstove koje je tim za vrednovanje redigirao i komentirao  pomogle su prilikom pisanja Izvješća</w:t>
      </w:r>
      <w:r>
        <w:rPr>
          <w:rFonts w:cstheme="minorHAnsi"/>
          <w:lang w:eastAsia="hr-HR"/>
        </w:rPr>
        <w:t xml:space="preserve">. Slijedom toga, za preporučiti je </w:t>
      </w:r>
      <w:r w:rsidRPr="00FB2D73">
        <w:rPr>
          <w:rFonts w:cstheme="minorHAnsi"/>
          <w:lang w:eastAsia="hr-HR"/>
        </w:rPr>
        <w:t>da i prilikom realizacije predstojećih vrednovanja, uz neophodne rasprave, tim za vrednovanje dobije i pismene reakcije na sve komentare vrednovanja od strane Izrađivača jer, pored usmenih rasprava, i to uvelike olakšava provjeru unosa svih korekcija i nadopuna</w:t>
      </w:r>
      <w:r w:rsidRPr="003045D3">
        <w:rPr>
          <w:rFonts w:cstheme="minorHAnsi"/>
          <w:lang w:eastAsia="hr-HR"/>
        </w:rPr>
        <w:t xml:space="preserve">. </w:t>
      </w:r>
    </w:p>
    <w:p w14:paraId="5B1470A8" w14:textId="71F4E948" w:rsidR="00361941" w:rsidRDefault="00361941" w:rsidP="00361941">
      <w:pPr>
        <w:spacing w:after="200" w:line="276" w:lineRule="auto"/>
        <w:jc w:val="both"/>
        <w:rPr>
          <w:rFonts w:cstheme="minorHAnsi"/>
          <w:lang w:eastAsia="hr-HR"/>
        </w:rPr>
      </w:pPr>
      <w:r w:rsidRPr="003045D3">
        <w:rPr>
          <w:rFonts w:cstheme="minorHAnsi"/>
          <w:lang w:eastAsia="hr-HR"/>
        </w:rPr>
        <w:t xml:space="preserve">S obzirom na izuzetno participativan način rada, te kontinuiranu i dinamičnu suradnju uspostavljenu tijekom izrade </w:t>
      </w:r>
      <w:r w:rsidR="005B5D10" w:rsidRPr="00B87D94">
        <w:rPr>
          <w:rFonts w:cstheme="minorHAnsi"/>
        </w:rPr>
        <w:t>Nacrta</w:t>
      </w:r>
      <w:r w:rsidR="005B5D10" w:rsidRPr="00154905">
        <w:rPr>
          <w:rFonts w:cstheme="minorHAnsi"/>
        </w:rPr>
        <w:t xml:space="preserve"> </w:t>
      </w:r>
      <w:r w:rsidRPr="003045D3">
        <w:rPr>
          <w:rFonts w:cstheme="minorHAnsi"/>
          <w:lang w:eastAsia="hr-HR"/>
        </w:rPr>
        <w:t xml:space="preserve">Strategije, mišljenja smo da bi </w:t>
      </w:r>
      <w:r>
        <w:rPr>
          <w:rFonts w:cstheme="minorHAnsi"/>
          <w:lang w:eastAsia="hr-HR"/>
        </w:rPr>
        <w:t xml:space="preserve">ranije uključivanje tima za vrednovanje u proces izrade Strategije omogućilo </w:t>
      </w:r>
      <w:r w:rsidRPr="003045D3">
        <w:rPr>
          <w:rFonts w:cstheme="minorHAnsi"/>
          <w:lang w:eastAsia="hr-HR"/>
        </w:rPr>
        <w:t>više održanih sadržajnih rasprava</w:t>
      </w:r>
      <w:r>
        <w:rPr>
          <w:rFonts w:cstheme="minorHAnsi"/>
          <w:lang w:eastAsia="hr-HR"/>
        </w:rPr>
        <w:t xml:space="preserve"> u prvoj fazi, naročito tijekom izrade analize stanja i SWOT analize. Tim za vrednovanje bi u tom slučaju pomogao pisanje ovih analiza. </w:t>
      </w:r>
      <w:r w:rsidRPr="00FB2D73">
        <w:rPr>
          <w:rFonts w:cstheme="minorHAnsi"/>
          <w:lang w:eastAsia="hr-HR"/>
        </w:rPr>
        <w:t>Naime, prva faza</w:t>
      </w:r>
      <w:r>
        <w:rPr>
          <w:rFonts w:cstheme="minorHAnsi"/>
          <w:lang w:eastAsia="hr-HR"/>
        </w:rPr>
        <w:t xml:space="preserve"> izrade akta strateškog planiranja je uvijek pogodna za zajedničke sadržajne i „razvojne“ rasprave koje, između ostaloga uključuju, zajedničko promišljanje </w:t>
      </w:r>
      <w:r w:rsidRPr="00FB2D73">
        <w:rPr>
          <w:rFonts w:cstheme="minorHAnsi"/>
          <w:lang w:eastAsia="hr-HR"/>
        </w:rPr>
        <w:t>razvojnih izazova, ali i razvojnih potencijala na holistički i integriran način. Iako je vremensko ograničenje uvijek prisutno, pravovremeno uključivanje tima za vrednovanje pomaže u prvom redu Izrađivaču, te bi proces izrade početnih analiza, a koje su osnova za formuliranje strateškog okvira,</w:t>
      </w:r>
      <w:r>
        <w:rPr>
          <w:rFonts w:cstheme="minorHAnsi"/>
          <w:lang w:eastAsia="hr-HR"/>
        </w:rPr>
        <w:t xml:space="preserve"> na taj način </w:t>
      </w:r>
      <w:r w:rsidRPr="00FB2D73">
        <w:rPr>
          <w:rFonts w:cstheme="minorHAnsi"/>
          <w:lang w:eastAsia="hr-HR"/>
        </w:rPr>
        <w:t>bio olakšan i u kasnijoj fazi. Takav način rada neminovno smanjuje broj izrađenih nacrta kao i obim komentiranja. Ujedno, time se u cjelini doprinosi kvaliteti izrađene Strategije, a što se neminovno uvijek reflektira i na njenoj olakšanoj provedbi. Poželjno je da na takvim sadržajnim raspravama u prvoj fazi izrade Strategije bude prilike za uključivanje i drugih relevantnih dionika. To, nažalost, nije uvijek bilo moguće pa je komunikacija na daljinu omogućila da se održi poželjan tempo s finalizacijom Strategije. Međutim, mišljenja smo</w:t>
      </w:r>
      <w:r>
        <w:rPr>
          <w:rFonts w:cstheme="minorHAnsi"/>
          <w:lang w:eastAsia="hr-HR"/>
        </w:rPr>
        <w:t>,</w:t>
      </w:r>
      <w:r w:rsidRPr="00FB2D73">
        <w:rPr>
          <w:rFonts w:cstheme="minorHAnsi"/>
          <w:lang w:eastAsia="hr-HR"/>
        </w:rPr>
        <w:t xml:space="preserve"> kako bi, prilikom realizacije narednih vrednovanja, ovakve sadržajne</w:t>
      </w:r>
      <w:r w:rsidRPr="0064236C">
        <w:rPr>
          <w:rFonts w:cstheme="minorHAnsi"/>
          <w:lang w:eastAsia="hr-HR"/>
        </w:rPr>
        <w:t xml:space="preserve"> rasprave koristile svima uključenim jer su one uvijek idealna prilika da se dubinski rasprave moguće dileme oko nekih prijedloga. To je ujedno prilika za razmjenu različitih stavova te za podizanje razine znanja svih uključenih</w:t>
      </w:r>
      <w:r w:rsidRPr="009973AC">
        <w:rPr>
          <w:rFonts w:cstheme="minorHAnsi"/>
          <w:lang w:eastAsia="hr-HR"/>
        </w:rPr>
        <w:t xml:space="preserve"> u proces izrade i vrednovanja strateškog dokumenta. Stečeno iskustvo i novo znanje potom se prenose tijekom buduć</w:t>
      </w:r>
      <w:r>
        <w:rPr>
          <w:rFonts w:cstheme="minorHAnsi"/>
          <w:lang w:eastAsia="hr-HR"/>
        </w:rPr>
        <w:t>ih</w:t>
      </w:r>
      <w:r w:rsidRPr="009973AC">
        <w:rPr>
          <w:rFonts w:cstheme="minorHAnsi"/>
          <w:lang w:eastAsia="hr-HR"/>
        </w:rPr>
        <w:t xml:space="preserve"> izrada akata strateškog planiranja i vrednovanja, od čega svi crpe koristi.</w:t>
      </w:r>
      <w:r>
        <w:rPr>
          <w:rFonts w:cstheme="minorHAnsi"/>
          <w:lang w:eastAsia="hr-HR"/>
        </w:rPr>
        <w:t xml:space="preserve"> Time se ujedno osnažuje i proces međuresornog i šireg partnerstva, što je također bitan faktor za učinkovitu i djelotvornu provedbu Strategije. </w:t>
      </w:r>
    </w:p>
    <w:p w14:paraId="3A32C555" w14:textId="77777777" w:rsidR="00361941" w:rsidRPr="009973AC" w:rsidRDefault="00361941" w:rsidP="00361941">
      <w:pPr>
        <w:spacing w:after="200" w:line="276" w:lineRule="auto"/>
        <w:jc w:val="both"/>
        <w:rPr>
          <w:rFonts w:cstheme="minorHAnsi"/>
          <w:lang w:eastAsia="hr-HR"/>
        </w:rPr>
      </w:pPr>
      <w:r w:rsidRPr="009973AC">
        <w:rPr>
          <w:rFonts w:cstheme="minorHAnsi"/>
          <w:lang w:eastAsia="hr-HR"/>
        </w:rPr>
        <w:t xml:space="preserve">Pouka je svakako da je svrhu vrednovanja moguće realizirati te postići najbolje rezultate vrednovanja jedino u uvjetima </w:t>
      </w:r>
      <w:r>
        <w:rPr>
          <w:rFonts w:cstheme="minorHAnsi"/>
          <w:lang w:eastAsia="hr-HR"/>
        </w:rPr>
        <w:t xml:space="preserve">pravovremeno započete, </w:t>
      </w:r>
      <w:r w:rsidRPr="009973AC">
        <w:rPr>
          <w:rFonts w:cstheme="minorHAnsi"/>
          <w:lang w:eastAsia="hr-HR"/>
        </w:rPr>
        <w:t xml:space="preserve">redovite pa i neformalne, suradnje i komunikacije s </w:t>
      </w:r>
      <w:r>
        <w:rPr>
          <w:rFonts w:cstheme="minorHAnsi"/>
          <w:lang w:eastAsia="hr-HR"/>
        </w:rPr>
        <w:t>Izrađivačem</w:t>
      </w:r>
      <w:r w:rsidRPr="009973AC">
        <w:rPr>
          <w:rFonts w:cstheme="minorHAnsi"/>
          <w:lang w:eastAsia="hr-HR"/>
        </w:rPr>
        <w:t>.</w:t>
      </w:r>
      <w:r>
        <w:rPr>
          <w:rFonts w:cstheme="minorHAnsi"/>
          <w:lang w:eastAsia="hr-HR"/>
        </w:rPr>
        <w:t xml:space="preserve"> Treba naglasiti da je pored</w:t>
      </w:r>
      <w:r w:rsidRPr="009973AC">
        <w:rPr>
          <w:rFonts w:cstheme="minorHAnsi"/>
          <w:lang w:eastAsia="hr-HR"/>
        </w:rPr>
        <w:t xml:space="preserve"> formaln</w:t>
      </w:r>
      <w:r>
        <w:rPr>
          <w:rFonts w:cstheme="minorHAnsi"/>
          <w:lang w:eastAsia="hr-HR"/>
        </w:rPr>
        <w:t>e</w:t>
      </w:r>
      <w:r w:rsidRPr="009973AC">
        <w:rPr>
          <w:rFonts w:cstheme="minorHAnsi"/>
          <w:lang w:eastAsia="hr-HR"/>
        </w:rPr>
        <w:t xml:space="preserve"> suradnj</w:t>
      </w:r>
      <w:r>
        <w:rPr>
          <w:rFonts w:cstheme="minorHAnsi"/>
          <w:lang w:eastAsia="hr-HR"/>
        </w:rPr>
        <w:t>e</w:t>
      </w:r>
      <w:r w:rsidRPr="009973AC">
        <w:rPr>
          <w:rFonts w:cstheme="minorHAnsi"/>
          <w:lang w:eastAsia="hr-HR"/>
        </w:rPr>
        <w:t xml:space="preserve"> na sastancima te slijedom pisanih reakcija svih involviranih tijekom procesa komentiranja, ovo bilo omogućeno i čestim neformalnim komuniciranjem, neposrednim rješavanjem pitanja i nejasnoća koje su neminovne tijekom realizacije bilo koje vrste </w:t>
      </w:r>
      <w:r w:rsidRPr="009973AC">
        <w:rPr>
          <w:rFonts w:cstheme="minorHAnsi"/>
          <w:lang w:eastAsia="hr-HR"/>
        </w:rPr>
        <w:lastRenderedPageBreak/>
        <w:t>vrednovanja. Ovakva komunikacija kod svih uključenih dionika i stručnjaka dodatno osnažuje povjerenje i osjećaj vlasništva nad rezultatom vrednovanja te se odražava u kvaliteti zadnje</w:t>
      </w:r>
      <w:r>
        <w:rPr>
          <w:rFonts w:cstheme="minorHAnsi"/>
          <w:lang w:eastAsia="hr-HR"/>
        </w:rPr>
        <w:t xml:space="preserve"> verzije </w:t>
      </w:r>
      <w:r w:rsidRPr="009973AC">
        <w:rPr>
          <w:rFonts w:cstheme="minorHAnsi"/>
          <w:lang w:eastAsia="hr-HR"/>
        </w:rPr>
        <w:t xml:space="preserve">Nacrta </w:t>
      </w:r>
      <w:r>
        <w:rPr>
          <w:rFonts w:cstheme="minorHAnsi"/>
          <w:lang w:eastAsia="hr-HR"/>
        </w:rPr>
        <w:t>Strategije</w:t>
      </w:r>
      <w:r w:rsidRPr="009973AC">
        <w:rPr>
          <w:rFonts w:cstheme="minorHAnsi"/>
          <w:lang w:eastAsia="hr-HR"/>
        </w:rPr>
        <w:t xml:space="preserve">. </w:t>
      </w:r>
    </w:p>
    <w:p w14:paraId="38358622" w14:textId="6785B80A" w:rsidR="00EE3A5F" w:rsidRDefault="00EE3A5F" w:rsidP="00EE3A5F">
      <w:pPr>
        <w:spacing w:after="200" w:line="276" w:lineRule="auto"/>
        <w:ind w:left="720"/>
        <w:jc w:val="both"/>
        <w:rPr>
          <w:rFonts w:cstheme="minorHAnsi"/>
          <w:lang w:eastAsia="hr-HR"/>
        </w:rPr>
      </w:pPr>
    </w:p>
    <w:p w14:paraId="0FF2396B" w14:textId="77777777" w:rsidR="004B638A" w:rsidRPr="009973AC" w:rsidRDefault="004B638A" w:rsidP="00EE3A5F">
      <w:pPr>
        <w:spacing w:after="200" w:line="276" w:lineRule="auto"/>
        <w:ind w:left="720"/>
        <w:jc w:val="both"/>
        <w:rPr>
          <w:rFonts w:cstheme="minorHAnsi"/>
          <w:lang w:eastAsia="hr-HR"/>
        </w:rPr>
      </w:pPr>
    </w:p>
    <w:p w14:paraId="78679D7D" w14:textId="7434D46F" w:rsidR="00EE3A5F" w:rsidRPr="00224015" w:rsidRDefault="00F67CF9" w:rsidP="004F7D61">
      <w:pPr>
        <w:pStyle w:val="Naslov1"/>
        <w:rPr>
          <w:rFonts w:cstheme="minorHAnsi"/>
          <w:b/>
          <w:lang w:eastAsia="hr-HR"/>
        </w:rPr>
      </w:pPr>
      <w:r>
        <w:rPr>
          <w:b/>
        </w:rPr>
        <w:t>8</w:t>
      </w:r>
      <w:r w:rsidR="00EE3A5F" w:rsidRPr="00224015">
        <w:rPr>
          <w:b/>
        </w:rPr>
        <w:t xml:space="preserve">. PREPORUKE </w:t>
      </w:r>
    </w:p>
    <w:p w14:paraId="1A0B4A4B" w14:textId="77777777" w:rsidR="004F7D61" w:rsidRDefault="004F7D61" w:rsidP="00EE3A5F">
      <w:pPr>
        <w:spacing w:after="200" w:line="276" w:lineRule="auto"/>
        <w:jc w:val="both"/>
        <w:rPr>
          <w:rFonts w:eastAsia="Times New Roman" w:cstheme="minorHAnsi"/>
        </w:rPr>
      </w:pPr>
    </w:p>
    <w:p w14:paraId="3A11CE21" w14:textId="5DB4BF01" w:rsidR="00EE3A5F" w:rsidRDefault="00EE3A5F" w:rsidP="00EE3A5F">
      <w:pPr>
        <w:spacing w:after="200" w:line="276" w:lineRule="auto"/>
        <w:jc w:val="both"/>
        <w:rPr>
          <w:rFonts w:eastAsia="Times New Roman" w:cstheme="minorHAnsi"/>
        </w:rPr>
      </w:pPr>
      <w:r w:rsidRPr="009973AC">
        <w:rPr>
          <w:rFonts w:eastAsia="Times New Roman" w:cstheme="minorHAnsi"/>
        </w:rPr>
        <w:t xml:space="preserve">Preporuke tima za vrednovanje su, u nekoliko navrata, dostavljene Izrađivaču, a detaljnije su iznesene prvenstveno u </w:t>
      </w:r>
      <w:r>
        <w:rPr>
          <w:rFonts w:eastAsia="Times New Roman" w:cstheme="minorHAnsi"/>
        </w:rPr>
        <w:t xml:space="preserve">prva dva izvješća vrednovanja. Kako bi </w:t>
      </w:r>
      <w:r w:rsidRPr="009973AC">
        <w:rPr>
          <w:rFonts w:eastAsia="Times New Roman" w:cstheme="minorHAnsi"/>
        </w:rPr>
        <w:t xml:space="preserve">se održao izazovan tempo u </w:t>
      </w:r>
      <w:r>
        <w:rPr>
          <w:rFonts w:eastAsia="Times New Roman" w:cstheme="minorHAnsi"/>
        </w:rPr>
        <w:t xml:space="preserve">realizaciji postupka vrednovanja, na samom početku su </w:t>
      </w:r>
      <w:r w:rsidR="009E5256">
        <w:rPr>
          <w:rFonts w:eastAsia="Times New Roman" w:cstheme="minorHAnsi"/>
        </w:rPr>
        <w:t xml:space="preserve">određeni </w:t>
      </w:r>
      <w:r>
        <w:rPr>
          <w:rFonts w:eastAsia="Times New Roman" w:cstheme="minorHAnsi"/>
        </w:rPr>
        <w:t>datumi za sve ključne korake, prvenstveno za radionice, slanje nacrta Izvješća vrednovanja</w:t>
      </w:r>
      <w:r w:rsidR="009E5256">
        <w:rPr>
          <w:rFonts w:eastAsia="Times New Roman" w:cstheme="minorHAnsi"/>
        </w:rPr>
        <w:t>,</w:t>
      </w:r>
      <w:r>
        <w:rPr>
          <w:rFonts w:eastAsia="Times New Roman" w:cstheme="minorHAnsi"/>
        </w:rPr>
        <w:t xml:space="preserve"> te datumi za održavanje sjednica Odbora za vrednovanje na kojima su rezultati tima za vrednovanje bili prezentirani te raspravljeni sa članovima Odbora.</w:t>
      </w:r>
    </w:p>
    <w:p w14:paraId="581D9C6E" w14:textId="77777777" w:rsidR="00EE3A5F" w:rsidRPr="009973AC" w:rsidRDefault="00EE3A5F" w:rsidP="00EE3A5F">
      <w:pPr>
        <w:spacing w:after="200" w:line="276" w:lineRule="auto"/>
        <w:jc w:val="both"/>
        <w:rPr>
          <w:rFonts w:eastAsia="Times New Roman" w:cstheme="minorHAnsi"/>
        </w:rPr>
      </w:pPr>
      <w:r w:rsidRPr="009973AC">
        <w:rPr>
          <w:rFonts w:eastAsia="Times New Roman" w:cstheme="minorHAnsi"/>
        </w:rPr>
        <w:t>Ključne preporuke detaljnije su obrazložene u nalazima vrednovanja i odgovorima na evaluacijska pitanja, kao i u prethodnom poglavlju sa zaključcima vrednovanja, a odnosile su se prvenstveno:</w:t>
      </w:r>
    </w:p>
    <w:p w14:paraId="03071D01" w14:textId="7A1064EC" w:rsidR="00EE3A5F" w:rsidRPr="009973AC" w:rsidRDefault="00EE3A5F" w:rsidP="009D0757">
      <w:pPr>
        <w:pStyle w:val="Odlomakpopisa"/>
        <w:numPr>
          <w:ilvl w:val="0"/>
          <w:numId w:val="8"/>
        </w:numPr>
        <w:spacing w:after="200" w:line="276" w:lineRule="auto"/>
        <w:jc w:val="both"/>
        <w:rPr>
          <w:rFonts w:eastAsia="Times New Roman" w:cstheme="minorHAnsi"/>
        </w:rPr>
      </w:pPr>
      <w:r w:rsidRPr="009973AC">
        <w:rPr>
          <w:rFonts w:eastAsia="Times New Roman" w:cstheme="minorHAnsi"/>
        </w:rPr>
        <w:t>na kraćenje</w:t>
      </w:r>
      <w:r>
        <w:rPr>
          <w:rFonts w:eastAsia="Times New Roman" w:cstheme="minorHAnsi"/>
        </w:rPr>
        <w:t>, nadopune, korekcije i doradu analize</w:t>
      </w:r>
      <w:r w:rsidRPr="009973AC">
        <w:rPr>
          <w:rFonts w:eastAsia="Times New Roman" w:cstheme="minorHAnsi"/>
        </w:rPr>
        <w:t xml:space="preserve"> s</w:t>
      </w:r>
      <w:r>
        <w:rPr>
          <w:rFonts w:eastAsia="Times New Roman" w:cstheme="minorHAnsi"/>
        </w:rPr>
        <w:t xml:space="preserve">tanja i SWOT analize s obzirom na </w:t>
      </w:r>
      <w:r w:rsidRPr="009973AC">
        <w:rPr>
          <w:rFonts w:eastAsia="Times New Roman" w:cstheme="minorHAnsi"/>
        </w:rPr>
        <w:t xml:space="preserve">njihovu ekstenzivnost, </w:t>
      </w:r>
      <w:r>
        <w:rPr>
          <w:rFonts w:eastAsia="Times New Roman" w:cstheme="minorHAnsi"/>
        </w:rPr>
        <w:t xml:space="preserve">način na koji su ova poglavlja bila strukturirana te činjenicu da je dio nalaza i ocjena bio formuliran na </w:t>
      </w:r>
      <w:r w:rsidRPr="009973AC">
        <w:rPr>
          <w:rFonts w:eastAsia="Times New Roman" w:cstheme="minorHAnsi"/>
        </w:rPr>
        <w:t>pretjerano općen</w:t>
      </w:r>
      <w:r>
        <w:rPr>
          <w:rFonts w:eastAsia="Times New Roman" w:cstheme="minorHAnsi"/>
        </w:rPr>
        <w:t xml:space="preserve">itoj razini, </w:t>
      </w:r>
      <w:r w:rsidRPr="009973AC">
        <w:rPr>
          <w:rFonts w:eastAsia="Times New Roman" w:cstheme="minorHAnsi"/>
        </w:rPr>
        <w:t xml:space="preserve"> uz prijedloge koje dijelove bi bilo dobro izostaviti ili kratiti</w:t>
      </w:r>
      <w:r>
        <w:rPr>
          <w:rFonts w:eastAsia="Times New Roman" w:cstheme="minorHAnsi"/>
        </w:rPr>
        <w:t>, te što bi trebalo dodati</w:t>
      </w:r>
      <w:r w:rsidRPr="009973AC">
        <w:rPr>
          <w:rFonts w:eastAsia="Times New Roman" w:cstheme="minorHAnsi"/>
        </w:rPr>
        <w:t>;</w:t>
      </w:r>
    </w:p>
    <w:p w14:paraId="42F05833" w14:textId="77777777" w:rsidR="00EE3A5F" w:rsidRPr="009973AC" w:rsidRDefault="00EE3A5F" w:rsidP="00EE3A5F">
      <w:pPr>
        <w:pStyle w:val="Odlomakpopisa"/>
        <w:jc w:val="both"/>
        <w:rPr>
          <w:rFonts w:eastAsia="Times New Roman" w:cstheme="minorHAnsi"/>
        </w:rPr>
      </w:pPr>
    </w:p>
    <w:p w14:paraId="19747626" w14:textId="61FCB096" w:rsidR="00EE3A5F" w:rsidRPr="00FB2D73" w:rsidRDefault="00EE3A5F" w:rsidP="009D0757">
      <w:pPr>
        <w:pStyle w:val="Odlomakpopisa"/>
        <w:numPr>
          <w:ilvl w:val="0"/>
          <w:numId w:val="8"/>
        </w:numPr>
        <w:spacing w:after="200" w:line="276" w:lineRule="auto"/>
        <w:jc w:val="both"/>
        <w:rPr>
          <w:rFonts w:eastAsia="Times New Roman" w:cstheme="minorHAnsi"/>
        </w:rPr>
      </w:pPr>
      <w:r w:rsidRPr="009973AC">
        <w:rPr>
          <w:rFonts w:eastAsia="Times New Roman" w:cstheme="minorHAnsi"/>
        </w:rPr>
        <w:t>na interve</w:t>
      </w:r>
      <w:r w:rsidR="005617E7">
        <w:rPr>
          <w:rFonts w:eastAsia="Times New Roman" w:cstheme="minorHAnsi"/>
        </w:rPr>
        <w:t>ncijsk</w:t>
      </w:r>
      <w:r w:rsidRPr="009973AC">
        <w:rPr>
          <w:rFonts w:eastAsia="Times New Roman" w:cstheme="minorHAnsi"/>
        </w:rPr>
        <w:t>u logiku - s tim u vezi predložen</w:t>
      </w:r>
      <w:r>
        <w:rPr>
          <w:rFonts w:eastAsia="Times New Roman" w:cstheme="minorHAnsi"/>
        </w:rPr>
        <w:t xml:space="preserve">e </w:t>
      </w:r>
      <w:r w:rsidRPr="009973AC">
        <w:rPr>
          <w:rFonts w:eastAsia="Times New Roman" w:cstheme="minorHAnsi"/>
        </w:rPr>
        <w:t xml:space="preserve"> su </w:t>
      </w:r>
      <w:r>
        <w:rPr>
          <w:rFonts w:eastAsia="Times New Roman" w:cstheme="minorHAnsi"/>
        </w:rPr>
        <w:t xml:space="preserve">nadopune kako bi se </w:t>
      </w:r>
      <w:r w:rsidRPr="009973AC">
        <w:rPr>
          <w:rFonts w:eastAsia="Times New Roman" w:cstheme="minorHAnsi"/>
        </w:rPr>
        <w:t>poboljša</w:t>
      </w:r>
      <w:r>
        <w:rPr>
          <w:rFonts w:eastAsia="Times New Roman" w:cstheme="minorHAnsi"/>
        </w:rPr>
        <w:t xml:space="preserve">la usklađenost i dosljednost/konzistentnost </w:t>
      </w:r>
      <w:r w:rsidRPr="009973AC">
        <w:rPr>
          <w:rFonts w:eastAsia="Times New Roman" w:cstheme="minorHAnsi"/>
        </w:rPr>
        <w:t>u prvo</w:t>
      </w:r>
      <w:r>
        <w:rPr>
          <w:rFonts w:eastAsia="Times New Roman" w:cstheme="minorHAnsi"/>
        </w:rPr>
        <w:t>m i drugom pre</w:t>
      </w:r>
      <w:r w:rsidRPr="009973AC">
        <w:rPr>
          <w:rFonts w:eastAsia="Times New Roman" w:cstheme="minorHAnsi"/>
        </w:rPr>
        <w:t xml:space="preserve">dloženom </w:t>
      </w:r>
      <w:r>
        <w:rPr>
          <w:rFonts w:eastAsia="Times New Roman" w:cstheme="minorHAnsi"/>
        </w:rPr>
        <w:t xml:space="preserve">Nacrtu Strategije, a prvenstveno gledajući </w:t>
      </w:r>
      <w:r w:rsidRPr="00FB2D73">
        <w:rPr>
          <w:rFonts w:eastAsia="Times New Roman" w:cstheme="minorHAnsi"/>
        </w:rPr>
        <w:t>od problema, razvojnih potencijala, do potreba i, slijedom, do strateških ciljeva i provedbenih mehanizama;</w:t>
      </w:r>
    </w:p>
    <w:p w14:paraId="23E53D37" w14:textId="77777777" w:rsidR="00EE3A5F" w:rsidRPr="00FB2D73" w:rsidRDefault="00EE3A5F" w:rsidP="00EE3A5F">
      <w:pPr>
        <w:pStyle w:val="Odlomakpopisa"/>
        <w:rPr>
          <w:rFonts w:eastAsia="Times New Roman" w:cstheme="minorHAnsi"/>
        </w:rPr>
      </w:pPr>
    </w:p>
    <w:p w14:paraId="2C6A1D4E" w14:textId="77777777" w:rsidR="00EE3A5F" w:rsidRPr="00FB2D73" w:rsidRDefault="00EE3A5F" w:rsidP="009D0757">
      <w:pPr>
        <w:pStyle w:val="Odlomakpopisa"/>
        <w:numPr>
          <w:ilvl w:val="0"/>
          <w:numId w:val="8"/>
        </w:numPr>
        <w:spacing w:after="200" w:line="276" w:lineRule="auto"/>
        <w:jc w:val="both"/>
        <w:rPr>
          <w:rFonts w:eastAsia="Times New Roman" w:cstheme="minorHAnsi"/>
        </w:rPr>
      </w:pPr>
      <w:r w:rsidRPr="00FB2D73">
        <w:rPr>
          <w:rFonts w:eastAsia="Times New Roman" w:cstheme="minorHAnsi"/>
        </w:rPr>
        <w:t>predložene su nadopune u nekim poglavljima te rješenja ponuđena kao prijedlog Izrađivaču direktno u tekstu. Navedena su manja preklapanja i nejasnoće te su dani prijedlozi vezani za ujednačeniji opis strateških ciljeva.</w:t>
      </w:r>
    </w:p>
    <w:p w14:paraId="7DF30742" w14:textId="360F5843" w:rsidR="00EE3A5F" w:rsidRPr="00FB2D73" w:rsidRDefault="00EE3A5F" w:rsidP="00EE3A5F">
      <w:pPr>
        <w:spacing w:after="200" w:line="276" w:lineRule="auto"/>
        <w:jc w:val="both"/>
        <w:rPr>
          <w:rFonts w:eastAsia="Times New Roman" w:cstheme="minorHAnsi"/>
        </w:rPr>
      </w:pPr>
      <w:r w:rsidRPr="00FB2D73">
        <w:rPr>
          <w:rFonts w:eastAsia="Times New Roman" w:cstheme="minorHAnsi"/>
        </w:rPr>
        <w:t xml:space="preserve">Uspješna provedba Strategije omogućit će se redovitim praćenjem (godišnjim) po zadanim pokazateljima te internim vrednovanjem kako bi se pravovremeno uočavale promjene, poduzele potrebne aktivnosti tijekom provedbe, te time u cjelini pridonijelo učinkovitoj provedbi.  </w:t>
      </w:r>
      <w:r w:rsidR="009E5256">
        <w:rPr>
          <w:rFonts w:eastAsia="Times New Roman" w:cstheme="minorHAnsi"/>
        </w:rPr>
        <w:t>Vanjsko</w:t>
      </w:r>
      <w:r w:rsidRPr="00FB2D73">
        <w:rPr>
          <w:rFonts w:eastAsia="Times New Roman" w:cstheme="minorHAnsi"/>
        </w:rPr>
        <w:t xml:space="preserve">, nezavisno vrednovanje u tom smislu je od ključnog značenja jer omogućava da se usred razdoblja provedbe Strategije sagleda u čemu su ključna ograničenja za dostizanje zadanih pokazatelja i ostvarenje planiranog. S druge strane, vrednovanje nakon provedbe izuzetno je značajno jer, među ostalim, omogućava i proces iskustvenog učenja, unapređenje, tj. kontinuirani razvoj segmenta biogospodarstva te kvalitetnije planiranje njegova daljnjeg razvoja u budućnosti. </w:t>
      </w:r>
    </w:p>
    <w:p w14:paraId="6F6A6B94" w14:textId="46D8FB87" w:rsidR="00EE3A5F" w:rsidRPr="00FB2D73" w:rsidRDefault="00EE3A5F" w:rsidP="00EE3A5F">
      <w:pPr>
        <w:spacing w:after="200" w:line="276" w:lineRule="auto"/>
        <w:jc w:val="both"/>
        <w:rPr>
          <w:rFonts w:cstheme="minorHAnsi"/>
        </w:rPr>
      </w:pPr>
      <w:r w:rsidRPr="00FB2D73">
        <w:rPr>
          <w:rFonts w:eastAsia="Times New Roman" w:cstheme="minorHAnsi"/>
        </w:rPr>
        <w:t xml:space="preserve">Tijekom predstojećeg procesa provedbe Strategije od  izuzetnog značaja za razvoj biogospodarstva bit će učinkovita koordinacija i suradnja </w:t>
      </w:r>
      <w:r w:rsidRPr="00FB2D73">
        <w:rPr>
          <w:rFonts w:eastAsia="Times New Roman" w:cs="Times New Roman"/>
          <w:color w:val="000000"/>
          <w:szCs w:val="20"/>
          <w:lang w:eastAsia="hr-HR"/>
        </w:rPr>
        <w:t xml:space="preserve">svih relevantnih dionika iz nadovezanih javnih politika koji mogu </w:t>
      </w:r>
      <w:r w:rsidRPr="00FB2D73">
        <w:rPr>
          <w:rFonts w:eastAsia="Times New Roman" w:cs="Times New Roman"/>
          <w:color w:val="000000"/>
          <w:szCs w:val="20"/>
          <w:lang w:eastAsia="hr-HR"/>
        </w:rPr>
        <w:lastRenderedPageBreak/>
        <w:t xml:space="preserve">posredno ili neposredno pridonijeti uspješnoj realizaciji planiranih strateških ciljeva i provedbenih mehanizama. Navedeno se vezuje za </w:t>
      </w:r>
      <w:r w:rsidRPr="00FB2D73">
        <w:rPr>
          <w:rFonts w:cstheme="minorHAnsi"/>
        </w:rPr>
        <w:t>nužnost primjene ranije istaknutog integriranog pristupa prilikom promišljanja daljnjeg održivog razvoja biogospodarstva. Pri tom se misli na kontinuiranu efektivnu i efikasnu međusektorsku suradnju Ministarstva poljoprivrede s Ministarstvom znanosti i obrazovanja, Ministarstvom gospodarstva te Ministarstva regionalnoga razvoja i EU fondova. Učinkovita suradnja i koordinacija relevantnih tijela pretpostavlja primjenu participativnog upravljanja i uključivanje svih bitnih aktera na svim hijerarhijskim razinama kako bi se osigurala kvalitetna provedba Strategije.</w:t>
      </w:r>
    </w:p>
    <w:p w14:paraId="60AE0FAA" w14:textId="77777777" w:rsidR="00EE3A5F" w:rsidRPr="00FB2D73" w:rsidRDefault="00EE3A5F" w:rsidP="00EE3A5F">
      <w:pPr>
        <w:spacing w:after="200" w:line="276" w:lineRule="auto"/>
        <w:jc w:val="both"/>
        <w:rPr>
          <w:rFonts w:eastAsia="Calibri" w:cstheme="minorHAnsi"/>
        </w:rPr>
      </w:pPr>
      <w:r w:rsidRPr="00FB2D73">
        <w:rPr>
          <w:rFonts w:cstheme="minorHAnsi"/>
        </w:rPr>
        <w:t>Uspostavljanje Koordinacijskog tijela sastavljenog od tijela državne uprave zaduženih za pojedine segmente biogospodarstva je u tom smislu bitan iskorak</w:t>
      </w:r>
      <w:r w:rsidRPr="00FB2D73">
        <w:rPr>
          <w:rFonts w:eastAsia="Calibri" w:cstheme="minorHAnsi"/>
        </w:rPr>
        <w:t xml:space="preserve">. </w:t>
      </w:r>
      <w:r w:rsidRPr="00FB2D73">
        <w:rPr>
          <w:rFonts w:cstheme="minorHAnsi"/>
        </w:rPr>
        <w:t>Preporuka je da se razina i kvaliteta suradnje svih relevantnih dionika prate tijekom razdoblja provedbe Strategije te da se ovoj suradnji posveti posebna pozornost u predstojećem vrednovanju Strategije tijekom njene provedbe.</w:t>
      </w:r>
    </w:p>
    <w:p w14:paraId="109BD330" w14:textId="77777777" w:rsidR="00EE3A5F" w:rsidRPr="00FB2D73" w:rsidRDefault="00EE3A5F" w:rsidP="00EE3A5F">
      <w:pPr>
        <w:spacing w:after="200" w:line="276" w:lineRule="auto"/>
        <w:jc w:val="both"/>
        <w:rPr>
          <w:rFonts w:eastAsia="Times New Roman" w:cstheme="minorHAnsi"/>
        </w:rPr>
      </w:pPr>
      <w:r w:rsidRPr="00FB2D73">
        <w:rPr>
          <w:rFonts w:eastAsia="Times New Roman" w:cstheme="minorHAnsi"/>
        </w:rPr>
        <w:t xml:space="preserve">Značajno je i kontinuirano praćenje svih raspoloživih i potrebnih resursa, što obuhvaća i dostatne ljudske resurse i njihove kapacitete, tj. razinu znanja i iskustva za uspješnu provedbu politike kroz kvalitetnu provedbu Strategije. Slijedom onoga što je istaknuto u nalazima u okviru kriterija učinkovitosti, djelotvornosti i komplementarnosti nove okolnosti u ovom razvojnom segmentu u globalnim razmjerima zahtijevaju kontinuirano praćenje novih trendova, pristupa, koncepata ali i ograničenja za daljnji razvoj biogospodarstvo. </w:t>
      </w:r>
    </w:p>
    <w:p w14:paraId="45019787" w14:textId="0D364F33" w:rsidR="00EE3A5F" w:rsidRPr="00FB2D73" w:rsidRDefault="00EE3A5F" w:rsidP="00EE3A5F">
      <w:pPr>
        <w:spacing w:after="200" w:line="276" w:lineRule="auto"/>
        <w:jc w:val="both"/>
        <w:rPr>
          <w:rFonts w:eastAsia="Times New Roman" w:cstheme="minorHAnsi"/>
        </w:rPr>
      </w:pPr>
      <w:r w:rsidRPr="00FB2D73">
        <w:rPr>
          <w:rFonts w:eastAsia="Times New Roman" w:cstheme="minorHAnsi"/>
        </w:rPr>
        <w:t>Potrebno je u tom smislu sustavno i kontinuirano pratiti potrebe te ulagati stalno u daljnji razvoj  ljudskih resursa  u Ministarstvu poljoprivrede kao i u drugim spomenutim tijelima državne uprave nadovezanim na ovaj razvojni segment. Uostalom, nova znanja i iskustva kao i pojačanje u smislu zaposlenih vrsnih stručnjaka  omogućiti će održivost planiranih rezultata.</w:t>
      </w:r>
    </w:p>
    <w:p w14:paraId="3F3B8728" w14:textId="7941625D" w:rsidR="00361941" w:rsidRPr="009973AC" w:rsidRDefault="00EE3A5F" w:rsidP="00361941">
      <w:pPr>
        <w:spacing w:after="200" w:line="276" w:lineRule="auto"/>
        <w:jc w:val="both"/>
        <w:rPr>
          <w:rFonts w:eastAsia="Times New Roman" w:cstheme="minorHAnsi"/>
        </w:rPr>
      </w:pPr>
      <w:r w:rsidRPr="00FB2D73">
        <w:rPr>
          <w:rFonts w:eastAsia="Times New Roman" w:cstheme="minorHAnsi"/>
        </w:rPr>
        <w:t>U tom smislu, uz preporuke izdvojene u Nalazima i Zaključcima Izvješća izdvajamo sljedeće preporuke prema kojima je potrebno:</w:t>
      </w:r>
      <w:r w:rsidR="00361941" w:rsidRPr="00361941">
        <w:rPr>
          <w:rFonts w:eastAsia="Times New Roman" w:cstheme="minorHAnsi"/>
        </w:rPr>
        <w:t xml:space="preserve"> </w:t>
      </w:r>
    </w:p>
    <w:p w14:paraId="69BCE311" w14:textId="77777777" w:rsidR="00361941" w:rsidRPr="00763DBB" w:rsidRDefault="00361941" w:rsidP="00361941">
      <w:pPr>
        <w:spacing w:after="200" w:line="276" w:lineRule="auto"/>
        <w:ind w:left="720"/>
        <w:jc w:val="both"/>
        <w:rPr>
          <w:rFonts w:eastAsia="Times New Roman" w:cstheme="minorHAnsi"/>
        </w:rPr>
      </w:pPr>
      <w:r w:rsidRPr="009973AC">
        <w:rPr>
          <w:rFonts w:eastAsia="Times New Roman" w:cstheme="minorHAnsi"/>
          <w:bCs/>
        </w:rPr>
        <w:t xml:space="preserve">1) </w:t>
      </w:r>
      <w:r>
        <w:rPr>
          <w:rFonts w:eastAsia="Times New Roman" w:cstheme="minorHAnsi"/>
          <w:bCs/>
        </w:rPr>
        <w:t>o</w:t>
      </w:r>
      <w:r w:rsidRPr="009973AC">
        <w:rPr>
          <w:rFonts w:eastAsia="Times New Roman" w:cstheme="minorHAnsi"/>
          <w:bCs/>
        </w:rPr>
        <w:t xml:space="preserve">sigurati </w:t>
      </w:r>
      <w:r w:rsidRPr="00763DBB">
        <w:rPr>
          <w:rFonts w:eastAsia="Times New Roman" w:cstheme="minorHAnsi"/>
          <w:bCs/>
        </w:rPr>
        <w:t>redovito godišnje praćenje provedbe Strategije od strane tijela zaduženog za izradu i provedbu akta, te informiranje stručne i ostale zainteresirane javnosti o rezultatima u ostvarenju postavljanih strateških ciljeva. Pri tome je posebno značajno pratiti pokretanje i realizaciju navedenih, ali i nekih budućih osmišljenih strateških projekata kojima se nastoji osigurati ključni zamah u razvoju biogospodarstva u  Republici Hrvatskoj u budućnosti.</w:t>
      </w:r>
    </w:p>
    <w:p w14:paraId="0E6005B4" w14:textId="77777777" w:rsidR="00361941" w:rsidRPr="009973AC" w:rsidRDefault="00361941" w:rsidP="00361941">
      <w:pPr>
        <w:spacing w:after="200" w:line="276" w:lineRule="auto"/>
        <w:ind w:left="720"/>
        <w:jc w:val="both"/>
        <w:rPr>
          <w:rFonts w:eastAsia="Times New Roman" w:cstheme="minorHAnsi"/>
          <w:bCs/>
        </w:rPr>
      </w:pPr>
      <w:r w:rsidRPr="00763DBB">
        <w:rPr>
          <w:rFonts w:eastAsia="Times New Roman" w:cstheme="minorHAnsi"/>
          <w:bCs/>
        </w:rPr>
        <w:t>2) osigurati pripremu i provedbu postupaka vrednovanja provedbe Strategije i to srednjoročno - tijekom njene provedbe te nakon n</w:t>
      </w:r>
      <w:r>
        <w:rPr>
          <w:rFonts w:eastAsia="Times New Roman" w:cstheme="minorHAnsi"/>
          <w:bCs/>
        </w:rPr>
        <w:t>jenog</w:t>
      </w:r>
      <w:r w:rsidRPr="00763DBB">
        <w:rPr>
          <w:rFonts w:eastAsia="Times New Roman" w:cstheme="minorHAnsi"/>
          <w:bCs/>
        </w:rPr>
        <w:t xml:space="preserve"> završetaka; važno je da to zaduženje prihvati Ministarstvo poljoprivrede kao tijelo koje koordinira pripremu i provedbu Strategije. U skladu s uobičajenom metodologijom i dobrim praksama provedbe postupaka vrednovanja ključan je angažman neovisnih stručnjaka na temelju naloga tijela zaduženog</w:t>
      </w:r>
      <w:r w:rsidRPr="009973AC">
        <w:rPr>
          <w:rFonts w:eastAsia="Times New Roman" w:cstheme="minorHAnsi"/>
          <w:bCs/>
        </w:rPr>
        <w:t xml:space="preserve"> za provedbu akta</w:t>
      </w:r>
      <w:r>
        <w:rPr>
          <w:rFonts w:eastAsia="Times New Roman" w:cstheme="minorHAnsi"/>
          <w:bCs/>
        </w:rPr>
        <w:t>.</w:t>
      </w:r>
    </w:p>
    <w:p w14:paraId="14C78DE7" w14:textId="77777777" w:rsidR="00361941" w:rsidRPr="009973AC" w:rsidRDefault="00361941" w:rsidP="00361941">
      <w:pPr>
        <w:spacing w:after="200" w:line="276" w:lineRule="auto"/>
        <w:ind w:left="720"/>
        <w:jc w:val="both"/>
        <w:rPr>
          <w:rFonts w:eastAsia="Times New Roman" w:cstheme="minorHAnsi"/>
          <w:bCs/>
        </w:rPr>
      </w:pPr>
      <w:r w:rsidRPr="009973AC">
        <w:rPr>
          <w:rFonts w:eastAsia="Times New Roman" w:cstheme="minorHAnsi"/>
          <w:bCs/>
        </w:rPr>
        <w:t xml:space="preserve">3) </w:t>
      </w:r>
      <w:r>
        <w:rPr>
          <w:rFonts w:eastAsia="Times New Roman" w:cstheme="minorHAnsi"/>
          <w:bCs/>
        </w:rPr>
        <w:t xml:space="preserve">Uz predložene strateške ciljeve i provedbene mehanizme potrebno je </w:t>
      </w:r>
      <w:r w:rsidRPr="009973AC">
        <w:rPr>
          <w:rFonts w:eastAsia="Times New Roman" w:cstheme="minorHAnsi"/>
          <w:bCs/>
        </w:rPr>
        <w:t xml:space="preserve"> kontinuirano pratiti nove trendove, razvojne teme i promjene u bližem i daljnjem okruženju, te inovativnim metodama i pristupima nastojati kontinuirano jačati </w:t>
      </w:r>
      <w:r>
        <w:rPr>
          <w:rFonts w:eastAsia="Times New Roman" w:cstheme="minorHAnsi"/>
          <w:bCs/>
        </w:rPr>
        <w:t xml:space="preserve">razvoj hrvatskog biogospodarstva, </w:t>
      </w:r>
      <w:r w:rsidRPr="009973AC">
        <w:rPr>
          <w:rFonts w:eastAsia="Times New Roman" w:cstheme="minorHAnsi"/>
          <w:bCs/>
        </w:rPr>
        <w:t xml:space="preserve">što će biti lakše u </w:t>
      </w:r>
      <w:r w:rsidRPr="009973AC">
        <w:rPr>
          <w:rFonts w:eastAsia="Times New Roman" w:cstheme="minorHAnsi"/>
          <w:bCs/>
        </w:rPr>
        <w:lastRenderedPageBreak/>
        <w:t>uvjetima primjene integriranog</w:t>
      </w:r>
      <w:r>
        <w:rPr>
          <w:rFonts w:eastAsia="Times New Roman" w:cstheme="minorHAnsi"/>
          <w:bCs/>
        </w:rPr>
        <w:t>, multisektorskog</w:t>
      </w:r>
      <w:r w:rsidRPr="009973AC">
        <w:rPr>
          <w:rFonts w:eastAsia="Times New Roman" w:cstheme="minorHAnsi"/>
          <w:bCs/>
        </w:rPr>
        <w:t xml:space="preserve"> pristupa</w:t>
      </w:r>
      <w:r>
        <w:rPr>
          <w:rFonts w:eastAsia="Times New Roman" w:cstheme="minorHAnsi"/>
          <w:bCs/>
        </w:rPr>
        <w:t>, tj. kontinuirane i bliske suradnje ključnih spomenutih tijela državne uprave i ostalih relevantnih dionika na svim razinama.</w:t>
      </w:r>
      <w:r w:rsidRPr="009973AC">
        <w:rPr>
          <w:rFonts w:eastAsia="Times New Roman" w:cstheme="minorHAnsi"/>
          <w:bCs/>
        </w:rPr>
        <w:t xml:space="preserve"> </w:t>
      </w:r>
    </w:p>
    <w:p w14:paraId="469BA3A5" w14:textId="77777777" w:rsidR="00361941" w:rsidRDefault="00361941" w:rsidP="00361941">
      <w:pPr>
        <w:spacing w:after="200" w:line="276" w:lineRule="auto"/>
        <w:ind w:left="720"/>
        <w:jc w:val="both"/>
      </w:pPr>
      <w:r w:rsidRPr="009973AC">
        <w:rPr>
          <w:rFonts w:eastAsia="Times New Roman" w:cstheme="minorHAnsi"/>
          <w:bCs/>
        </w:rPr>
        <w:t xml:space="preserve">4) </w:t>
      </w:r>
      <w:r>
        <w:rPr>
          <w:rFonts w:eastAsia="Times New Roman" w:cstheme="minorHAnsi"/>
          <w:bCs/>
        </w:rPr>
        <w:t xml:space="preserve">Od presudnog je značaja </w:t>
      </w:r>
      <w:r w:rsidRPr="009973AC">
        <w:rPr>
          <w:rFonts w:eastAsia="Times New Roman" w:cstheme="minorHAnsi"/>
          <w:bCs/>
        </w:rPr>
        <w:t>javno komunicir</w:t>
      </w:r>
      <w:r>
        <w:rPr>
          <w:rFonts w:eastAsia="Times New Roman" w:cstheme="minorHAnsi"/>
          <w:bCs/>
        </w:rPr>
        <w:t xml:space="preserve">anje </w:t>
      </w:r>
      <w:r w:rsidRPr="009973AC">
        <w:rPr>
          <w:rFonts w:eastAsia="Times New Roman" w:cstheme="minorHAnsi"/>
          <w:bCs/>
        </w:rPr>
        <w:t>rezultat</w:t>
      </w:r>
      <w:r>
        <w:rPr>
          <w:rFonts w:eastAsia="Times New Roman" w:cstheme="minorHAnsi"/>
          <w:bCs/>
        </w:rPr>
        <w:t>a</w:t>
      </w:r>
      <w:r w:rsidRPr="009973AC">
        <w:rPr>
          <w:rFonts w:eastAsia="Times New Roman" w:cstheme="minorHAnsi"/>
          <w:bCs/>
        </w:rPr>
        <w:t xml:space="preserve"> provedbe Strategije slijedom potrebe primjene novih oblika upravljanja koji su participativni i podrazumijevaju uključivanje stavova građana prilikom realizacije procesa formuliranja javnih politika </w:t>
      </w:r>
      <w:r>
        <w:rPr>
          <w:rFonts w:eastAsia="Times New Roman" w:cstheme="minorHAnsi"/>
          <w:bCs/>
        </w:rPr>
        <w:t>–</w:t>
      </w:r>
      <w:r w:rsidRPr="009973AC">
        <w:rPr>
          <w:rFonts w:eastAsia="Times New Roman" w:cstheme="minorHAnsi"/>
          <w:bCs/>
        </w:rPr>
        <w:t xml:space="preserve"> </w:t>
      </w:r>
      <w:r>
        <w:t xml:space="preserve">Služba za usklađivanje s EU strategijama i međunarodnim obavezama, Ministarstvo poljoprivrede.   </w:t>
      </w:r>
    </w:p>
    <w:p w14:paraId="5BE1CAC7" w14:textId="68DBFDA1" w:rsidR="00361941" w:rsidRPr="00763DBB" w:rsidRDefault="00361941" w:rsidP="00361941">
      <w:pPr>
        <w:spacing w:after="200" w:line="276" w:lineRule="auto"/>
        <w:ind w:left="720"/>
        <w:jc w:val="both"/>
        <w:rPr>
          <w:rFonts w:cs="Times New Roman"/>
        </w:rPr>
      </w:pPr>
      <w:r w:rsidRPr="009973AC">
        <w:rPr>
          <w:rFonts w:eastAsia="Times New Roman" w:cstheme="minorHAnsi"/>
          <w:bCs/>
        </w:rPr>
        <w:t xml:space="preserve">5) </w:t>
      </w:r>
      <w:r>
        <w:rPr>
          <w:rFonts w:eastAsia="Times New Roman" w:cstheme="minorHAnsi"/>
          <w:bCs/>
        </w:rPr>
        <w:t>I</w:t>
      </w:r>
      <w:r w:rsidRPr="009973AC">
        <w:rPr>
          <w:rFonts w:eastAsia="Times New Roman" w:cstheme="minorHAnsi"/>
          <w:bCs/>
        </w:rPr>
        <w:t xml:space="preserve">znimno je važno da se temeljem nalaza postupaka vrednovanja omogući redovito revidiranje Strategije - za to je, kao nositelj izrade </w:t>
      </w:r>
      <w:r>
        <w:rPr>
          <w:rFonts w:eastAsia="Times New Roman" w:cstheme="minorHAnsi"/>
          <w:bCs/>
        </w:rPr>
        <w:t xml:space="preserve"> Strategije,</w:t>
      </w:r>
      <w:r w:rsidRPr="009973AC">
        <w:rPr>
          <w:rFonts w:eastAsia="Times New Roman" w:cstheme="minorHAnsi"/>
          <w:bCs/>
        </w:rPr>
        <w:t xml:space="preserve"> nadležno Ministarstvo </w:t>
      </w:r>
      <w:r>
        <w:rPr>
          <w:rFonts w:eastAsia="Times New Roman" w:cstheme="minorHAnsi"/>
          <w:bCs/>
        </w:rPr>
        <w:t xml:space="preserve">poljoprivrede - </w:t>
      </w:r>
      <w:r>
        <w:t>Služba za usklađivanje s EU strategijama i međunarodnim obavezama</w:t>
      </w:r>
      <w:r w:rsidRPr="009973AC">
        <w:rPr>
          <w:rFonts w:ascii="Calibri" w:hAnsi="Calibri"/>
        </w:rPr>
        <w:t xml:space="preserve">; </w:t>
      </w:r>
      <w:r w:rsidRPr="009973AC">
        <w:rPr>
          <w:rFonts w:cs="Times New Roman"/>
        </w:rPr>
        <w:t xml:space="preserve">vrednovanje je potrebno provoditi u skladu s odredbama propisa kojima se uređuje područje strateškog planiranja i upravljanja </w:t>
      </w:r>
      <w:r w:rsidRPr="00763DBB">
        <w:rPr>
          <w:rFonts w:cs="Times New Roman"/>
        </w:rPr>
        <w:t xml:space="preserve">razvojem Republike Hrvatske; srednjoročno vrednovanje, tj. vrednovanje tijekom provedbe </w:t>
      </w:r>
      <w:r w:rsidR="00E70114">
        <w:rPr>
          <w:rFonts w:cs="Times New Roman"/>
        </w:rPr>
        <w:t>Strategije</w:t>
      </w:r>
      <w:r w:rsidRPr="00763DBB">
        <w:rPr>
          <w:rFonts w:cs="Times New Roman"/>
        </w:rPr>
        <w:t xml:space="preserve"> potrebno je provesti 2029. godine, a vrednovanje nakon provedbe sugeriramo da se provede tijekom 2036. godine; na taj način moći će se ocijeniti cjelokupni utjecaj i učinak Strategije, odnosno njena djelotvornost</w:t>
      </w:r>
      <w:r w:rsidRPr="009973AC">
        <w:rPr>
          <w:rFonts w:cs="Times New Roman"/>
        </w:rPr>
        <w:t xml:space="preserve"> i učinkovitost u cijelom razdoblju provedbe</w:t>
      </w:r>
      <w:r>
        <w:rPr>
          <w:rFonts w:cs="Times New Roman"/>
        </w:rPr>
        <w:t xml:space="preserve"> do 2035. godine</w:t>
      </w:r>
      <w:r w:rsidRPr="009973AC">
        <w:rPr>
          <w:rFonts w:cs="Times New Roman"/>
        </w:rPr>
        <w:t xml:space="preserve">, a što je osnova </w:t>
      </w:r>
      <w:r w:rsidRPr="00763DBB">
        <w:rPr>
          <w:rFonts w:cs="Times New Roman"/>
        </w:rPr>
        <w:t>za daljnji proces planiranja politike razvoja biogospodarstva</w:t>
      </w:r>
    </w:p>
    <w:p w14:paraId="002D2C55" w14:textId="77777777" w:rsidR="00361941" w:rsidRPr="009973AC" w:rsidRDefault="00361941" w:rsidP="00361941">
      <w:pPr>
        <w:spacing w:after="200" w:line="276" w:lineRule="auto"/>
        <w:ind w:left="720"/>
        <w:jc w:val="both"/>
        <w:rPr>
          <w:rFonts w:eastAsia="Times New Roman" w:cstheme="minorHAnsi"/>
          <w:bCs/>
        </w:rPr>
      </w:pPr>
      <w:r w:rsidRPr="00763DBB">
        <w:rPr>
          <w:rFonts w:eastAsia="Times New Roman" w:cstheme="minorHAnsi"/>
          <w:bCs/>
        </w:rPr>
        <w:t>6. Pravovremeno krenuti s izradom Plana razvoja biogospodarstva za razdoblje do 2035. godine; sugeriramo da se planiranje prvih koraka na izradi Plana inicira tijekom 2024. godine.</w:t>
      </w:r>
    </w:p>
    <w:p w14:paraId="600A6BE7" w14:textId="77777777" w:rsidR="00361941" w:rsidRDefault="00361941" w:rsidP="00361941">
      <w:pPr>
        <w:spacing w:after="200" w:line="276" w:lineRule="auto"/>
        <w:jc w:val="both"/>
        <w:rPr>
          <w:rFonts w:eastAsia="Calibri" w:cstheme="minorHAnsi"/>
        </w:rPr>
      </w:pPr>
    </w:p>
    <w:p w14:paraId="628F46A7" w14:textId="0ADA7183" w:rsidR="00361941" w:rsidRPr="004F7D61" w:rsidRDefault="00361941" w:rsidP="00361941">
      <w:pPr>
        <w:spacing w:after="200" w:line="276" w:lineRule="auto"/>
        <w:jc w:val="both"/>
        <w:rPr>
          <w:b/>
        </w:rPr>
      </w:pPr>
      <w:r>
        <w:br w:type="column"/>
      </w:r>
      <w:r w:rsidRPr="004F7D61">
        <w:rPr>
          <w:b/>
        </w:rPr>
        <w:lastRenderedPageBreak/>
        <w:t xml:space="preserve"> </w:t>
      </w:r>
    </w:p>
    <w:p w14:paraId="0204AD5A" w14:textId="68597F98" w:rsidR="00EE3A5F" w:rsidRPr="004F7D61" w:rsidRDefault="00EE3A5F" w:rsidP="005617E7">
      <w:pPr>
        <w:pStyle w:val="Naslov1"/>
        <w:rPr>
          <w:b/>
        </w:rPr>
      </w:pPr>
      <w:r w:rsidRPr="004F7D61">
        <w:rPr>
          <w:b/>
        </w:rPr>
        <w:t>PRILOG 1</w:t>
      </w:r>
    </w:p>
    <w:p w14:paraId="02835505" w14:textId="77777777" w:rsidR="004F7D61" w:rsidRPr="004F7D61" w:rsidRDefault="004F7D61" w:rsidP="004F7D61">
      <w:pPr>
        <w:pStyle w:val="Naslov2"/>
        <w:rPr>
          <w:b/>
        </w:rPr>
      </w:pPr>
    </w:p>
    <w:p w14:paraId="087B14F0" w14:textId="199EF756" w:rsidR="00EE3A5F" w:rsidRPr="004F7D61" w:rsidRDefault="00EE3A5F" w:rsidP="004F7D61">
      <w:pPr>
        <w:pStyle w:val="Naslov2"/>
        <w:rPr>
          <w:b/>
          <w:lang w:eastAsia="hr-HR"/>
        </w:rPr>
      </w:pPr>
      <w:r w:rsidRPr="004F7D61">
        <w:rPr>
          <w:b/>
        </w:rPr>
        <w:t>PODACI O ČLANOVIMA TIMA ZA VREDNOVANJE</w:t>
      </w:r>
    </w:p>
    <w:p w14:paraId="0DD659A7" w14:textId="77777777" w:rsidR="004F7D61" w:rsidRDefault="004F7D61" w:rsidP="00EE3A5F">
      <w:pPr>
        <w:spacing w:after="200" w:line="276" w:lineRule="auto"/>
        <w:jc w:val="both"/>
      </w:pPr>
    </w:p>
    <w:p w14:paraId="74DEFA5A" w14:textId="6A3BA92F" w:rsidR="00EE3A5F" w:rsidRDefault="00EE3A5F" w:rsidP="00EE3A5F">
      <w:pPr>
        <w:spacing w:after="200" w:line="276" w:lineRule="auto"/>
        <w:jc w:val="both"/>
      </w:pPr>
      <w:r w:rsidRPr="009973AC">
        <w:t xml:space="preserve">Stručnjaci angažirani na realizaciji vrednovanja </w:t>
      </w:r>
      <w:r>
        <w:t>Strategije</w:t>
      </w:r>
      <w:r w:rsidRPr="009973AC">
        <w:t xml:space="preserve"> bili su </w:t>
      </w:r>
      <w:r w:rsidR="004F7D61">
        <w:t xml:space="preserve">dr. sc. Darko Znaor,  dr. sc. Ana-Maria Boromisa,  Sandra Vukić, </w:t>
      </w:r>
      <w:r w:rsidR="004F7D61" w:rsidRPr="009973AC">
        <w:t xml:space="preserve"> </w:t>
      </w:r>
      <w:r w:rsidRPr="009973AC">
        <w:t>dr. sc. Sanja Tišma</w:t>
      </w:r>
      <w:r w:rsidR="004F7D61">
        <w:t xml:space="preserve"> i</w:t>
      </w:r>
      <w:r w:rsidRPr="009973AC">
        <w:t xml:space="preserve"> dr. sc. </w:t>
      </w:r>
      <w:r>
        <w:t>Sanja Maleković</w:t>
      </w:r>
      <w:r w:rsidR="004F7D61">
        <w:t>.</w:t>
      </w:r>
    </w:p>
    <w:p w14:paraId="427FF44C" w14:textId="4666A102" w:rsidR="004F7D61" w:rsidRPr="004F7D61" w:rsidRDefault="004F7D61" w:rsidP="00EE3A5F">
      <w:pPr>
        <w:spacing w:after="200" w:line="276" w:lineRule="auto"/>
        <w:jc w:val="both"/>
      </w:pPr>
      <w:r w:rsidRPr="00CD1D4D">
        <w:rPr>
          <w:b/>
        </w:rPr>
        <w:t>Darko Znaor</w:t>
      </w:r>
      <w:r>
        <w:t xml:space="preserve"> je doktor  zaštite okoliša (Sveučilište Essex, UK) i prvi europski magistar ekološke poljoprivrede (Sveučilište Wageningen, Nizozemska). Kao voditelj projekata, konzultant ili evaluator, radio je u dvadeset i pet europskih i pet azijskih zemalja na preko stotinu i pedeset strategijskih, obrazovnih, istraživačkih i razvojnih projekata Svjetske banke, OECD-a, UN organizacija (FAO, UNECE, UNDP i UNEP), Europske komisije, država-članica EU-a i SAD-a. Bio je gostujući predavač i/ili istraživač na sveučilištima u Velikoj Britaniji, Belgiji, Italiji i Bugarskoj, te trinaest godina na najboljem poljoprivrednom sveučilištu na svijetu – WUR u Nizozemskoj. </w:t>
      </w:r>
      <w:r>
        <w:rPr>
          <w:lang w:val="nl-NL"/>
        </w:rPr>
        <w:t>Autor je preko stotinu publikacija. Za Svjetsku banku, EK, te hrvatska, nizozemska i bugarska ministarstva, vrednovao je preko 150 strategija, programa, projektnih prijedloga i projekata, uključujući EU programe Horizon Europe, H2020, LIFE+, CBC, FP7, IPARD i SAPARD.</w:t>
      </w:r>
    </w:p>
    <w:p w14:paraId="2A458FAC" w14:textId="02F46062" w:rsidR="00EE3A5F" w:rsidRPr="00CD1D4D" w:rsidRDefault="00EE3A5F" w:rsidP="00EE3A5F">
      <w:pPr>
        <w:spacing w:after="200" w:line="276" w:lineRule="auto"/>
        <w:jc w:val="both"/>
        <w:rPr>
          <w:rFonts w:eastAsia="Times New Roman" w:cstheme="minorHAnsi"/>
          <w:lang w:eastAsia="hr-HR"/>
        </w:rPr>
      </w:pPr>
      <w:r w:rsidRPr="00CD1D4D">
        <w:rPr>
          <w:rFonts w:eastAsia="Times New Roman" w:cstheme="minorHAnsi"/>
          <w:b/>
          <w:lang w:eastAsia="hr-HR"/>
        </w:rPr>
        <w:t>Ana-Maria Boromisa</w:t>
      </w:r>
      <w:r w:rsidRPr="00CD1D4D">
        <w:rPr>
          <w:rFonts w:eastAsia="Times New Roman" w:cstheme="minorHAnsi"/>
          <w:lang w:eastAsia="hr-HR"/>
        </w:rPr>
        <w:t>, znanstvena je savjetnica u trajnom izboru i predstojnica Odjela ze međunar</w:t>
      </w:r>
      <w:r w:rsidR="00A40B5C">
        <w:rPr>
          <w:rFonts w:eastAsia="Times New Roman" w:cstheme="minorHAnsi"/>
          <w:lang w:eastAsia="hr-HR"/>
        </w:rPr>
        <w:t>odne</w:t>
      </w:r>
      <w:r w:rsidRPr="00CD1D4D">
        <w:rPr>
          <w:rFonts w:eastAsia="Times New Roman" w:cstheme="minorHAnsi"/>
          <w:lang w:eastAsia="hr-HR"/>
        </w:rPr>
        <w:t xml:space="preserve"> gospodarske i političke odnose u Institutu za razvoj i međunarodne odnose (IRMO). Doktorat je stekla na Ekonomskom fakultetu u Zagrebu (2004.),  magisterij europskih znanosti na Collegu Europe, Poljska (1995.)  a magisterij inžinjerstva na </w:t>
      </w:r>
      <w:r w:rsidR="00A40B5C" w:rsidRPr="00CD1D4D">
        <w:rPr>
          <w:rFonts w:eastAsia="Times New Roman" w:cstheme="minorHAnsi"/>
          <w:lang w:eastAsia="hr-HR"/>
        </w:rPr>
        <w:t>Fakultetu</w:t>
      </w:r>
      <w:r w:rsidRPr="00CD1D4D">
        <w:rPr>
          <w:rFonts w:eastAsia="Times New Roman" w:cstheme="minorHAnsi"/>
          <w:lang w:eastAsia="hr-HR"/>
        </w:rPr>
        <w:t xml:space="preserve"> energetike i računarstva Sveučilištu u Zagrebu (1994.). Glavna područja istraživačkog interesa odnose se na  energiju i klimu, politike dekarbonizacije, financiranje tran</w:t>
      </w:r>
      <w:r w:rsidR="00344CA0">
        <w:rPr>
          <w:rFonts w:eastAsia="Times New Roman" w:cstheme="minorHAnsi"/>
          <w:lang w:eastAsia="hr-HR"/>
        </w:rPr>
        <w:t>z</w:t>
      </w:r>
      <w:r w:rsidRPr="00CD1D4D">
        <w:rPr>
          <w:rFonts w:eastAsia="Times New Roman" w:cstheme="minorHAnsi"/>
          <w:lang w:eastAsia="hr-HR"/>
        </w:rPr>
        <w:t>icije. U tom području Ana-Maria Boromisa vodi projekte, objavljuje radove i predaje u sklopu akademskih i drugih programa obrazovanja, na pozvanim predavanjima i konferencijama. Predaje na doktorskim i poslijediplomskim sveučilišnim programima u Hrvatskoj i u inozemstvu. Govori i piše hrvatski i engleski, a služi se i njemačkim i francuskim jezikom.</w:t>
      </w:r>
      <w:r w:rsidR="00A40B5C">
        <w:rPr>
          <w:rFonts w:eastAsia="Times New Roman" w:cstheme="minorHAnsi"/>
          <w:lang w:eastAsia="hr-HR"/>
        </w:rPr>
        <w:t xml:space="preserve"> </w:t>
      </w:r>
      <w:r w:rsidRPr="00CD1D4D">
        <w:rPr>
          <w:rFonts w:eastAsia="Times New Roman" w:cstheme="minorHAnsi"/>
          <w:lang w:eastAsia="hr-HR"/>
        </w:rPr>
        <w:t xml:space="preserve">Dr. Boromisa bila je članica Upravnog odbora IRMO-a od 2006. do 2012. godine, predsjednica Znanstvenog vijeća od 2013. do 2017. godine. U razdoblju od 2001. do 2005. godine obavljala je dužnost članice  Vijeća za regulaciju energetskih djelatnosti, a prethodno je radila kao inženjerka u Zračnoj luci Zagreb. </w:t>
      </w:r>
    </w:p>
    <w:p w14:paraId="6AFE6347" w14:textId="6368516F" w:rsidR="00EE3A5F" w:rsidRDefault="00EE3A5F" w:rsidP="00EE3A5F">
      <w:pPr>
        <w:spacing w:after="200" w:line="276" w:lineRule="auto"/>
        <w:jc w:val="both"/>
      </w:pPr>
      <w:r w:rsidRPr="00CD1D4D">
        <w:rPr>
          <w:b/>
        </w:rPr>
        <w:t>Sandra Vukić</w:t>
      </w:r>
      <w:r>
        <w:t xml:space="preserve"> diplomirala je na Ekonomskom fakultetu u Zagrebu. Niz godina obnašala je ekspertne i vodeće pozicije u području turističkog poslovanja s fokusom na potrebe tržišta te razvoj inovativnih proizvoda i usluga. Uvođenjem međunarodnih standarda u poslovanje radila je na unaprjeđenju poslovnih procesa i poboljšanju njihove usklađenosti i učinkovitosti. Od 2018. godine zaposlena je u Ministarstvu poljoprivrede na poslovima vezanim uz provedbu strukturnih europskih fondova. </w:t>
      </w:r>
    </w:p>
    <w:p w14:paraId="76B9E554" w14:textId="77777777" w:rsidR="004F7D61" w:rsidRPr="00905E03" w:rsidRDefault="004F7D61" w:rsidP="004F7D61">
      <w:pPr>
        <w:spacing w:after="200" w:line="276" w:lineRule="auto"/>
        <w:jc w:val="both"/>
      </w:pPr>
      <w:r w:rsidRPr="009973AC">
        <w:rPr>
          <w:b/>
        </w:rPr>
        <w:t>Sanja Tišma</w:t>
      </w:r>
      <w:r w:rsidRPr="009973AC">
        <w:t xml:space="preserve"> doktorirala je ekonomiju na Sveučilištu u Zagrebu 1997. godine. Ravnateljica je Instituta za razvoj i međunarodne odnose (IRMO) Zagreb te znanstvena savjetnica u trajnom zvanju u Odjelu za resursnu ekonomiju, zaštitu okoliša i regionalni razvoj. Gospođa Tišma ima 30 godina profesionalnog iskustva kao znanstvenica, voditeljica projekata, posebno u području održivog razvoja, strateškog </w:t>
      </w:r>
      <w:r w:rsidRPr="009973AC">
        <w:lastRenderedPageBreak/>
        <w:t>planiranja i upravljanja te praćenja i vrednovanja javnih politika. Tijekom posljednjih petnaestak godina gospođa Tišma kontinuirano prati razvoj politike zaštite okoliša Europske unije te</w:t>
      </w:r>
      <w:r w:rsidRPr="00905E03">
        <w:t xml:space="preserve"> je autorica brojnih članaka i studija iz tog područja. Znanstveni opus čini stotinjak znanstvenih radova objavljenih u domaćim i međunarodnim časopisima te u zbornicima na međunarodnim konferencijama, sedam autorskih i četiri uredničke knjige. Stručnjak je za izradu analize troškova i koristi (CBA) projekata utjecaja na okoliš, za regionalno i lokalno strateško planiranje razvojnih politika te je također evaluator (ex ante, srednjoročni i ex post) razvojnih programa i projekata. Gospođa Tišma koordinirala je ili sudjelovala u nacionalnim i međunarodnim multidisciplinarnim istraživačkim projektima iz područja ekonomije, održive analize i okoliša.</w:t>
      </w:r>
    </w:p>
    <w:p w14:paraId="549FB55C" w14:textId="77777777" w:rsidR="004F7D61" w:rsidRDefault="004F7D61" w:rsidP="004F7D61">
      <w:pPr>
        <w:spacing w:after="200" w:line="276" w:lineRule="auto"/>
        <w:jc w:val="both"/>
      </w:pPr>
      <w:r w:rsidRPr="009973AC">
        <w:rPr>
          <w:b/>
        </w:rPr>
        <w:t>Sanja Maleković</w:t>
      </w:r>
      <w:r w:rsidRPr="009973AC">
        <w:t xml:space="preserve"> doktorirala je ekonomiju na Sveučilištu u Zagrebu 1997. godine. Znanstvena je savjetnica u trajnom zvanju u Odjelu za resursnu ekonomiju, zaštitu okoliša i regionalni razvoj Instituta za razvoj i međunarodne odnose. Glavni istraživački interesi su joj regionalni i lokalni razvoj, kohezijska politika EU, regionalna politika Hrvatske, upravljanje razvojem, strateško planiranje razvoja i vrednovanje strateških razvojnih programa i planova. Objavljivala je radove u knjigama (uključujući za Palgrave Macmillan) te znanstvene članke u hrvatskim i inozemnim časopisima i u London School of Economics Occasional Papers. Angažirana je bila i kao konzultant u Hrvatskoj i jugoistočnoj Europi u svojstvu glavnog stručnjaka i koordinatora projekata na nacionalnim i projektima podržanim od strane Europske komisije uključujući META Evaluaciju Programa IPA 1 u jugoistočnoj Europi te vrednovanje programa CARDS, Phare i IPA u Hrvatskoj u razdoblju 2004 – 2012 (projekti </w:t>
      </w:r>
      <w:r w:rsidRPr="009973AC">
        <w:rPr>
          <w:i/>
        </w:rPr>
        <w:t>Country programme interim evlauations za Hrvatsku</w:t>
      </w:r>
      <w:r w:rsidRPr="009973AC">
        <w:t xml:space="preserve">) i niz drugih. Sudjelovala je u izradi te vrednovanju dvadesetak strategija i planova razvoja županija, gradova, urbanih aglomeracija kao i strategija na nacionalnoj razini. Član je nekoliko profesionalnih udruženja, uključujući Network of London School of Economics on Decentralisation in South East Europe i European Regional Science Association (ERSA). Su-voditelj je Poslijediplomskog sveučilišnog specijalističkog studija Priprema i provedba EU projekata te predavač iz kolegija "Kohezijska politika EU i razvoj u Hrvatskoj“ te „Strateško planiranje“ na nekoliko sveučilišnih i veleučilišnih studija. </w:t>
      </w:r>
    </w:p>
    <w:p w14:paraId="64FDC6A0" w14:textId="77777777" w:rsidR="004F7D61" w:rsidRPr="009973AC" w:rsidRDefault="004F7D61" w:rsidP="00EE3A5F">
      <w:pPr>
        <w:spacing w:after="200" w:line="276" w:lineRule="auto"/>
        <w:jc w:val="both"/>
      </w:pPr>
    </w:p>
    <w:p w14:paraId="3C338976" w14:textId="77777777" w:rsidR="00EE3A5F" w:rsidRPr="00905E03" w:rsidRDefault="00EE3A5F" w:rsidP="00EE3A5F">
      <w:pPr>
        <w:spacing w:after="200" w:line="276" w:lineRule="auto"/>
        <w:ind w:left="720"/>
        <w:jc w:val="both"/>
      </w:pPr>
    </w:p>
    <w:p w14:paraId="202D58A6" w14:textId="77777777" w:rsidR="00EE3A5F" w:rsidRPr="00905E03" w:rsidRDefault="00EE3A5F" w:rsidP="00EE3A5F">
      <w:pPr>
        <w:spacing w:after="200" w:line="276" w:lineRule="auto"/>
        <w:ind w:left="720"/>
        <w:jc w:val="both"/>
      </w:pPr>
    </w:p>
    <w:p w14:paraId="06AE978C" w14:textId="77777777" w:rsidR="00EE3A5F" w:rsidRPr="00905E03" w:rsidRDefault="00EE3A5F" w:rsidP="00EE3A5F">
      <w:pPr>
        <w:spacing w:after="200" w:line="276" w:lineRule="auto"/>
        <w:ind w:left="720"/>
        <w:jc w:val="both"/>
        <w:rPr>
          <w:rFonts w:cstheme="minorHAnsi"/>
          <w:lang w:eastAsia="hr-HR"/>
        </w:rPr>
      </w:pPr>
    </w:p>
    <w:p w14:paraId="72F89505" w14:textId="77777777" w:rsidR="00EE3A5F" w:rsidRPr="00905E03" w:rsidRDefault="00EE3A5F" w:rsidP="00EE3A5F">
      <w:pPr>
        <w:spacing w:after="200" w:line="276" w:lineRule="auto"/>
        <w:ind w:left="720"/>
        <w:jc w:val="both"/>
        <w:rPr>
          <w:rFonts w:cstheme="minorHAnsi"/>
          <w:lang w:eastAsia="hr-HR"/>
        </w:rPr>
      </w:pPr>
    </w:p>
    <w:p w14:paraId="4579E5BD" w14:textId="77777777" w:rsidR="00EE3A5F" w:rsidRPr="004F7D61" w:rsidRDefault="00EE3A5F" w:rsidP="005617E7">
      <w:pPr>
        <w:pStyle w:val="Naslov1"/>
        <w:rPr>
          <w:b/>
        </w:rPr>
      </w:pPr>
      <w:r w:rsidRPr="00905E03">
        <w:br w:type="column"/>
      </w:r>
      <w:r w:rsidRPr="004F7D61">
        <w:rPr>
          <w:b/>
        </w:rPr>
        <w:lastRenderedPageBreak/>
        <w:t>PRILOG 2</w:t>
      </w:r>
    </w:p>
    <w:p w14:paraId="6C90149A" w14:textId="77777777" w:rsidR="00224015" w:rsidRDefault="00224015" w:rsidP="004F7D61">
      <w:pPr>
        <w:pStyle w:val="Naslov2"/>
        <w:rPr>
          <w:rFonts w:eastAsia="Times New Roman"/>
          <w:b/>
        </w:rPr>
      </w:pPr>
    </w:p>
    <w:p w14:paraId="706F667D" w14:textId="69869F09" w:rsidR="00EE3A5F" w:rsidRDefault="00EE3A5F" w:rsidP="004F7D61">
      <w:pPr>
        <w:pStyle w:val="Naslov2"/>
        <w:rPr>
          <w:rFonts w:eastAsia="Times New Roman"/>
          <w:b/>
        </w:rPr>
      </w:pPr>
      <w:r w:rsidRPr="004F7D61">
        <w:rPr>
          <w:rFonts w:eastAsia="Times New Roman"/>
          <w:b/>
        </w:rPr>
        <w:t>OPIS I VREMENIK PROVEDBE POSTUPKA VREDNOVANJA</w:t>
      </w:r>
    </w:p>
    <w:p w14:paraId="36375819" w14:textId="77777777" w:rsidR="004F7D61" w:rsidRPr="004F7D61" w:rsidRDefault="004F7D61" w:rsidP="004F7D61"/>
    <w:p w14:paraId="7CBBB9A6" w14:textId="77777777" w:rsidR="00EE3A5F" w:rsidRPr="00905E03" w:rsidRDefault="00EE3A5F" w:rsidP="00EE3A5F">
      <w:pPr>
        <w:spacing w:after="200" w:line="276" w:lineRule="auto"/>
        <w:jc w:val="both"/>
        <w:rPr>
          <w:rFonts w:cstheme="minorHAnsi"/>
          <w:lang w:eastAsia="hr-HR"/>
        </w:rPr>
      </w:pPr>
      <w:r w:rsidRPr="00905E03">
        <w:rPr>
          <w:rFonts w:cstheme="minorHAnsi"/>
          <w:lang w:eastAsia="hr-HR"/>
        </w:rPr>
        <w:t xml:space="preserve">Postupak realizacije vrednovanja odvijao se kontinuirano i dinamično tijekom procesa provedbe vrednovanja. U Poglavlju ovog Izvješća su navedeni ključni koraci sa opisom relevantnih aktivnosti U slijedećoj tablici su istaknute neke od </w:t>
      </w:r>
      <w:r w:rsidRPr="00905E03">
        <w:rPr>
          <w:rFonts w:cstheme="minorHAnsi"/>
          <w:b/>
          <w:lang w:eastAsia="hr-HR"/>
        </w:rPr>
        <w:t>ključnih aktivnosti</w:t>
      </w:r>
      <w:r w:rsidRPr="00905E03">
        <w:rPr>
          <w:rFonts w:cstheme="minorHAnsi"/>
          <w:lang w:eastAsia="hr-HR"/>
        </w:rPr>
        <w:t>, tj. njihovi rezultati i isporuke:</w:t>
      </w:r>
    </w:p>
    <w:tbl>
      <w:tblPr>
        <w:tblStyle w:val="Reetkatablice"/>
        <w:tblW w:w="0" w:type="auto"/>
        <w:tblInd w:w="720" w:type="dxa"/>
        <w:tblLook w:val="04A0" w:firstRow="1" w:lastRow="0" w:firstColumn="1" w:lastColumn="0" w:noHBand="0" w:noVBand="1"/>
      </w:tblPr>
      <w:tblGrid>
        <w:gridCol w:w="4358"/>
        <w:gridCol w:w="4318"/>
      </w:tblGrid>
      <w:tr w:rsidR="00BB79D6" w:rsidRPr="00905E03" w14:paraId="21D2CC22" w14:textId="77777777" w:rsidTr="00020C4F">
        <w:tc>
          <w:tcPr>
            <w:tcW w:w="4358" w:type="dxa"/>
          </w:tcPr>
          <w:p w14:paraId="48CE1967" w14:textId="77777777" w:rsidR="00EE3A5F" w:rsidRPr="00905E03" w:rsidRDefault="00EE3A5F" w:rsidP="00EE3A5F">
            <w:pPr>
              <w:spacing w:after="200" w:line="276" w:lineRule="auto"/>
              <w:jc w:val="both"/>
              <w:rPr>
                <w:rFonts w:cstheme="minorHAnsi"/>
                <w:b/>
                <w:i/>
                <w:lang w:eastAsia="hr-HR"/>
              </w:rPr>
            </w:pPr>
            <w:r w:rsidRPr="00905E03">
              <w:rPr>
                <w:rFonts w:cstheme="minorHAnsi"/>
                <w:b/>
                <w:i/>
                <w:lang w:eastAsia="hr-HR"/>
              </w:rPr>
              <w:t>Datum/razdoblje</w:t>
            </w:r>
          </w:p>
        </w:tc>
        <w:tc>
          <w:tcPr>
            <w:tcW w:w="4318" w:type="dxa"/>
          </w:tcPr>
          <w:p w14:paraId="25B16740" w14:textId="77777777" w:rsidR="00EE3A5F" w:rsidRPr="00905E03" w:rsidRDefault="00EE3A5F" w:rsidP="00EE3A5F">
            <w:pPr>
              <w:spacing w:after="200" w:line="276" w:lineRule="auto"/>
              <w:jc w:val="both"/>
              <w:rPr>
                <w:rFonts w:cstheme="minorHAnsi"/>
                <w:b/>
                <w:i/>
                <w:lang w:eastAsia="hr-HR"/>
              </w:rPr>
            </w:pPr>
            <w:r w:rsidRPr="00905E03">
              <w:rPr>
                <w:rFonts w:cstheme="minorHAnsi"/>
                <w:b/>
                <w:i/>
                <w:lang w:eastAsia="hr-HR"/>
              </w:rPr>
              <w:t>Aktivnost i opis gdje primjenjivo</w:t>
            </w:r>
          </w:p>
        </w:tc>
      </w:tr>
      <w:tr w:rsidR="00BB79D6" w:rsidRPr="00905E03" w14:paraId="77B3C4DB" w14:textId="77777777" w:rsidTr="00020C4F">
        <w:tc>
          <w:tcPr>
            <w:tcW w:w="4358" w:type="dxa"/>
          </w:tcPr>
          <w:p w14:paraId="2EEDEB93" w14:textId="712A34BE" w:rsidR="00EE3A5F" w:rsidRPr="00905E03" w:rsidRDefault="00EE3A5F" w:rsidP="00EE3A5F">
            <w:pPr>
              <w:spacing w:after="200" w:line="276" w:lineRule="auto"/>
              <w:jc w:val="both"/>
              <w:rPr>
                <w:rFonts w:cstheme="minorHAnsi"/>
                <w:lang w:eastAsia="hr-HR"/>
              </w:rPr>
            </w:pPr>
            <w:r w:rsidRPr="00905E03">
              <w:rPr>
                <w:rFonts w:cstheme="minorHAnsi"/>
                <w:lang w:eastAsia="hr-HR"/>
              </w:rPr>
              <w:t>1.12.2</w:t>
            </w:r>
            <w:r w:rsidR="00997E03">
              <w:rPr>
                <w:rFonts w:cstheme="minorHAnsi"/>
                <w:lang w:eastAsia="hr-HR"/>
              </w:rPr>
              <w:t>3</w:t>
            </w:r>
            <w:r w:rsidRPr="00905E03">
              <w:rPr>
                <w:rFonts w:cstheme="minorHAnsi"/>
                <w:lang w:eastAsia="hr-HR"/>
              </w:rPr>
              <w:t>.</w:t>
            </w:r>
          </w:p>
        </w:tc>
        <w:tc>
          <w:tcPr>
            <w:tcW w:w="4318" w:type="dxa"/>
          </w:tcPr>
          <w:p w14:paraId="6DD1A0C4" w14:textId="220AAFD4" w:rsidR="00997E03" w:rsidRDefault="00997E03" w:rsidP="00BB79D6">
            <w:pPr>
              <w:spacing w:line="60" w:lineRule="atLeast"/>
              <w:jc w:val="both"/>
              <w:rPr>
                <w:rFonts w:cstheme="minorHAnsi"/>
                <w:lang w:eastAsia="hr-HR"/>
              </w:rPr>
            </w:pPr>
            <w:r>
              <w:rPr>
                <w:rFonts w:cstheme="minorHAnsi"/>
                <w:lang w:eastAsia="hr-HR"/>
              </w:rPr>
              <w:t>1.12.</w:t>
            </w:r>
            <w:r w:rsidR="00020C4F">
              <w:rPr>
                <w:rFonts w:cstheme="minorHAnsi"/>
                <w:lang w:eastAsia="hr-HR"/>
              </w:rPr>
              <w:t>23.</w:t>
            </w:r>
            <w:r>
              <w:rPr>
                <w:rFonts w:cstheme="minorHAnsi"/>
                <w:lang w:eastAsia="hr-HR"/>
              </w:rPr>
              <w:t xml:space="preserve"> potpis ugovora</w:t>
            </w:r>
          </w:p>
          <w:p w14:paraId="15B0443E" w14:textId="6BA442E2" w:rsidR="00BB79D6" w:rsidRDefault="00997E03" w:rsidP="00BB79D6">
            <w:pPr>
              <w:spacing w:line="60" w:lineRule="atLeast"/>
              <w:jc w:val="both"/>
              <w:rPr>
                <w:rFonts w:cstheme="minorHAnsi"/>
                <w:lang w:eastAsia="hr-HR"/>
              </w:rPr>
            </w:pPr>
            <w:r>
              <w:rPr>
                <w:rFonts w:cstheme="minorHAnsi"/>
                <w:lang w:eastAsia="hr-HR"/>
              </w:rPr>
              <w:t>2.12.-16.12</w:t>
            </w:r>
            <w:r w:rsidR="00020C4F">
              <w:rPr>
                <w:rFonts w:cstheme="minorHAnsi"/>
                <w:lang w:eastAsia="hr-HR"/>
              </w:rPr>
              <w:t>.23.</w:t>
            </w:r>
          </w:p>
          <w:p w14:paraId="48B9F8E6" w14:textId="1B0F29C0" w:rsidR="00BB79D6" w:rsidRDefault="00BB79D6" w:rsidP="00BB79D6">
            <w:pPr>
              <w:spacing w:line="60" w:lineRule="atLeast"/>
              <w:jc w:val="both"/>
              <w:rPr>
                <w:rFonts w:cstheme="minorHAnsi"/>
                <w:lang w:eastAsia="hr-HR"/>
              </w:rPr>
            </w:pPr>
            <w:r>
              <w:rPr>
                <w:rFonts w:cstheme="minorHAnsi"/>
                <w:lang w:eastAsia="hr-HR"/>
              </w:rPr>
              <w:t xml:space="preserve">- </w:t>
            </w:r>
            <w:r w:rsidR="00997E03">
              <w:rPr>
                <w:rFonts w:cstheme="minorHAnsi"/>
                <w:lang w:eastAsia="hr-HR"/>
              </w:rPr>
              <w:t>Koment</w:t>
            </w:r>
            <w:r w:rsidR="00020C4F">
              <w:rPr>
                <w:rFonts w:cstheme="minorHAnsi"/>
                <w:lang w:eastAsia="hr-HR"/>
              </w:rPr>
              <w:t xml:space="preserve">iranje </w:t>
            </w:r>
            <w:r w:rsidR="00997E03">
              <w:rPr>
                <w:rFonts w:cstheme="minorHAnsi"/>
                <w:lang w:eastAsia="hr-HR"/>
              </w:rPr>
              <w:t>zaprimljen</w:t>
            </w:r>
            <w:r w:rsidR="00020C4F">
              <w:rPr>
                <w:rFonts w:cstheme="minorHAnsi"/>
                <w:lang w:eastAsia="hr-HR"/>
              </w:rPr>
              <w:t>og</w:t>
            </w:r>
            <w:r w:rsidR="00997E03">
              <w:rPr>
                <w:rFonts w:cstheme="minorHAnsi"/>
                <w:lang w:eastAsia="hr-HR"/>
              </w:rPr>
              <w:t xml:space="preserve"> Nacrt</w:t>
            </w:r>
            <w:r w:rsidR="00020C4F">
              <w:rPr>
                <w:rFonts w:cstheme="minorHAnsi"/>
                <w:lang w:eastAsia="hr-HR"/>
              </w:rPr>
              <w:t>a</w:t>
            </w:r>
            <w:r w:rsidR="00997E03">
              <w:rPr>
                <w:rFonts w:cstheme="minorHAnsi"/>
                <w:lang w:eastAsia="hr-HR"/>
              </w:rPr>
              <w:t xml:space="preserve"> i izrada početnog  izvješća</w:t>
            </w:r>
          </w:p>
          <w:p w14:paraId="78733B38" w14:textId="0150ECE7" w:rsidR="00EE3A5F" w:rsidRPr="00905E03" w:rsidRDefault="00BB79D6" w:rsidP="00BB79D6">
            <w:pPr>
              <w:spacing w:line="60" w:lineRule="atLeast"/>
              <w:jc w:val="both"/>
              <w:rPr>
                <w:rFonts w:cstheme="minorHAnsi"/>
                <w:lang w:eastAsia="hr-HR"/>
              </w:rPr>
            </w:pPr>
            <w:r>
              <w:rPr>
                <w:rFonts w:cstheme="minorHAnsi"/>
                <w:lang w:eastAsia="hr-HR"/>
              </w:rPr>
              <w:t xml:space="preserve">- </w:t>
            </w:r>
            <w:r w:rsidR="00020C4F">
              <w:rPr>
                <w:rFonts w:cstheme="minorHAnsi"/>
                <w:lang w:eastAsia="hr-HR"/>
              </w:rPr>
              <w:t xml:space="preserve">Izrada </w:t>
            </w:r>
            <w:r w:rsidR="00997E03">
              <w:rPr>
                <w:rFonts w:cstheme="minorHAnsi"/>
                <w:lang w:eastAsia="hr-HR"/>
              </w:rPr>
              <w:t>prezentacije za prvu sjednicu Odbora za vrednovanje</w:t>
            </w:r>
          </w:p>
        </w:tc>
      </w:tr>
      <w:tr w:rsidR="00BB79D6" w:rsidRPr="00905E03" w14:paraId="6A2F2DC3" w14:textId="77777777" w:rsidTr="00020C4F">
        <w:tc>
          <w:tcPr>
            <w:tcW w:w="4358" w:type="dxa"/>
          </w:tcPr>
          <w:p w14:paraId="46940CF4" w14:textId="4D5E0E63" w:rsidR="00EE3A5F" w:rsidRPr="00905E03" w:rsidRDefault="00997E03" w:rsidP="00EE3A5F">
            <w:pPr>
              <w:spacing w:after="200" w:line="276" w:lineRule="auto"/>
              <w:jc w:val="both"/>
              <w:rPr>
                <w:rFonts w:cstheme="minorHAnsi"/>
                <w:lang w:eastAsia="hr-HR"/>
              </w:rPr>
            </w:pPr>
            <w:r>
              <w:rPr>
                <w:rFonts w:cstheme="minorHAnsi"/>
                <w:lang w:eastAsia="hr-HR"/>
              </w:rPr>
              <w:t>21</w:t>
            </w:r>
            <w:r w:rsidR="00EE3A5F" w:rsidRPr="00905E03">
              <w:rPr>
                <w:rFonts w:cstheme="minorHAnsi"/>
                <w:lang w:eastAsia="hr-HR"/>
              </w:rPr>
              <w:t>.</w:t>
            </w:r>
            <w:r>
              <w:rPr>
                <w:rFonts w:cstheme="minorHAnsi"/>
                <w:lang w:eastAsia="hr-HR"/>
              </w:rPr>
              <w:t>1</w:t>
            </w:r>
            <w:r w:rsidR="00EE3A5F" w:rsidRPr="00905E03">
              <w:rPr>
                <w:rFonts w:cstheme="minorHAnsi"/>
                <w:lang w:eastAsia="hr-HR"/>
              </w:rPr>
              <w:t>2.23.</w:t>
            </w:r>
          </w:p>
        </w:tc>
        <w:tc>
          <w:tcPr>
            <w:tcW w:w="4318" w:type="dxa"/>
          </w:tcPr>
          <w:p w14:paraId="38C1CF2C" w14:textId="0F051854" w:rsidR="00EE3A5F" w:rsidRPr="00905E03" w:rsidRDefault="00EE3A5F" w:rsidP="00EE3A5F">
            <w:pPr>
              <w:jc w:val="both"/>
              <w:rPr>
                <w:rFonts w:eastAsia="Times New Roman" w:cstheme="minorHAnsi"/>
              </w:rPr>
            </w:pPr>
            <w:r w:rsidRPr="00905E03">
              <w:rPr>
                <w:rFonts w:eastAsia="Times New Roman" w:cstheme="minorHAnsi"/>
              </w:rPr>
              <w:t xml:space="preserve"> </w:t>
            </w:r>
            <w:r w:rsidR="00020C4F">
              <w:rPr>
                <w:rFonts w:eastAsia="Times New Roman" w:cstheme="minorHAnsi"/>
              </w:rPr>
              <w:t xml:space="preserve">- </w:t>
            </w:r>
            <w:r w:rsidR="00997E03">
              <w:rPr>
                <w:rFonts w:eastAsia="Times New Roman" w:cstheme="minorHAnsi"/>
              </w:rPr>
              <w:t>Prezent</w:t>
            </w:r>
            <w:r w:rsidR="00020C4F">
              <w:rPr>
                <w:rFonts w:eastAsia="Times New Roman" w:cstheme="minorHAnsi"/>
              </w:rPr>
              <w:t xml:space="preserve">iranje </w:t>
            </w:r>
            <w:r w:rsidR="00997E03">
              <w:rPr>
                <w:rFonts w:eastAsia="Times New Roman" w:cstheme="minorHAnsi"/>
              </w:rPr>
              <w:t xml:space="preserve"> Početnog izvješća na Odboru za vrednovanje</w:t>
            </w:r>
          </w:p>
          <w:p w14:paraId="7E359F5A" w14:textId="77777777" w:rsidR="00EE3A5F" w:rsidRPr="00905E03" w:rsidRDefault="00EE3A5F" w:rsidP="00EE3A5F">
            <w:pPr>
              <w:jc w:val="both"/>
              <w:rPr>
                <w:rFonts w:eastAsia="Times New Roman" w:cstheme="minorHAnsi"/>
              </w:rPr>
            </w:pPr>
          </w:p>
        </w:tc>
      </w:tr>
      <w:tr w:rsidR="00BB79D6" w:rsidRPr="00905E03" w14:paraId="4850B3F3" w14:textId="77777777" w:rsidTr="00020C4F">
        <w:tc>
          <w:tcPr>
            <w:tcW w:w="4358" w:type="dxa"/>
          </w:tcPr>
          <w:p w14:paraId="2EFB8B9A" w14:textId="23081435" w:rsidR="00EE3A5F" w:rsidRPr="00905E03" w:rsidRDefault="00997E03" w:rsidP="00EE3A5F">
            <w:pPr>
              <w:spacing w:after="200" w:line="276" w:lineRule="auto"/>
              <w:jc w:val="both"/>
              <w:rPr>
                <w:rFonts w:cstheme="minorHAnsi"/>
                <w:lang w:eastAsia="hr-HR"/>
              </w:rPr>
            </w:pPr>
            <w:r>
              <w:rPr>
                <w:rFonts w:cstheme="minorHAnsi"/>
                <w:lang w:eastAsia="hr-HR"/>
              </w:rPr>
              <w:t>28.12</w:t>
            </w:r>
            <w:r w:rsidR="00BB79D6">
              <w:rPr>
                <w:rFonts w:cstheme="minorHAnsi"/>
                <w:lang w:eastAsia="hr-HR"/>
              </w:rPr>
              <w:t>.23</w:t>
            </w:r>
            <w:r w:rsidR="00020C4F">
              <w:rPr>
                <w:rFonts w:cstheme="minorHAnsi"/>
                <w:lang w:eastAsia="hr-HR"/>
              </w:rPr>
              <w:t>.</w:t>
            </w:r>
            <w:r w:rsidR="00BB79D6">
              <w:rPr>
                <w:rFonts w:cstheme="minorHAnsi"/>
                <w:lang w:eastAsia="hr-HR"/>
              </w:rPr>
              <w:t xml:space="preserve"> – 11.1.24.</w:t>
            </w:r>
          </w:p>
        </w:tc>
        <w:tc>
          <w:tcPr>
            <w:tcW w:w="4318" w:type="dxa"/>
          </w:tcPr>
          <w:p w14:paraId="04FEDB66" w14:textId="0CDC83B3" w:rsidR="00BB79D6" w:rsidRDefault="00EE3A5F" w:rsidP="00997E03">
            <w:pPr>
              <w:jc w:val="both"/>
              <w:rPr>
                <w:rFonts w:eastAsia="Times New Roman" w:cstheme="minorHAnsi"/>
              </w:rPr>
            </w:pPr>
            <w:r w:rsidRPr="00905E03">
              <w:rPr>
                <w:rFonts w:eastAsia="Times New Roman" w:cstheme="minorHAnsi"/>
              </w:rPr>
              <w:t xml:space="preserve"> </w:t>
            </w:r>
            <w:r w:rsidR="00BB79D6">
              <w:rPr>
                <w:rFonts w:eastAsia="Times New Roman" w:cstheme="minorHAnsi"/>
              </w:rPr>
              <w:t>- Komentiranje drugog zaprimljenog Nacrta Strategije i izrada Izvješća o napretku u prikupljanju i analizi podataka te privremenim zaključcima provedbe postupka vrednovanja</w:t>
            </w:r>
            <w:r w:rsidR="00020C4F">
              <w:rPr>
                <w:rFonts w:eastAsia="Times New Roman" w:cstheme="minorHAnsi"/>
              </w:rPr>
              <w:t xml:space="preserve"> (drugo izvješće vrednovanja)</w:t>
            </w:r>
            <w:r w:rsidR="00BB79D6">
              <w:rPr>
                <w:rFonts w:eastAsia="Times New Roman" w:cstheme="minorHAnsi"/>
              </w:rPr>
              <w:t xml:space="preserve"> </w:t>
            </w:r>
          </w:p>
          <w:p w14:paraId="129DBC62" w14:textId="2CFB3BE6" w:rsidR="00EE3A5F" w:rsidRPr="00905E03" w:rsidRDefault="00BB79D6" w:rsidP="00997E03">
            <w:pPr>
              <w:jc w:val="both"/>
              <w:rPr>
                <w:rFonts w:cstheme="minorHAnsi"/>
                <w:lang w:eastAsia="hr-HR"/>
              </w:rPr>
            </w:pPr>
            <w:r>
              <w:rPr>
                <w:rFonts w:eastAsia="Times New Roman" w:cstheme="minorHAnsi"/>
              </w:rPr>
              <w:t xml:space="preserve"> - </w:t>
            </w:r>
            <w:r w:rsidR="00020C4F">
              <w:rPr>
                <w:rFonts w:eastAsia="Times New Roman" w:cstheme="minorHAnsi"/>
              </w:rPr>
              <w:t>I</w:t>
            </w:r>
            <w:r>
              <w:rPr>
                <w:rFonts w:eastAsia="Times New Roman" w:cstheme="minorHAnsi"/>
              </w:rPr>
              <w:t xml:space="preserve">zrada prezentacije za drugu sjednicu Odbora za vrednovanje </w:t>
            </w:r>
          </w:p>
        </w:tc>
      </w:tr>
      <w:tr w:rsidR="00BB79D6" w:rsidRPr="00905E03" w14:paraId="1BFAF903" w14:textId="77777777" w:rsidTr="00020C4F">
        <w:tc>
          <w:tcPr>
            <w:tcW w:w="4358" w:type="dxa"/>
          </w:tcPr>
          <w:p w14:paraId="5B143B88" w14:textId="10DA037F" w:rsidR="00EE3A5F" w:rsidRPr="00905E03" w:rsidRDefault="00BB79D6" w:rsidP="00EE3A5F">
            <w:pPr>
              <w:spacing w:after="200" w:line="276" w:lineRule="auto"/>
              <w:jc w:val="both"/>
              <w:rPr>
                <w:rFonts w:cstheme="minorHAnsi"/>
                <w:lang w:eastAsia="hr-HR"/>
              </w:rPr>
            </w:pPr>
            <w:r>
              <w:rPr>
                <w:rFonts w:cstheme="minorHAnsi"/>
                <w:lang w:eastAsia="hr-HR"/>
              </w:rPr>
              <w:t>12.1.24.</w:t>
            </w:r>
          </w:p>
        </w:tc>
        <w:tc>
          <w:tcPr>
            <w:tcW w:w="4318" w:type="dxa"/>
          </w:tcPr>
          <w:p w14:paraId="5C64A42B" w14:textId="6E43BAF5" w:rsidR="00EE3A5F" w:rsidRPr="00905E03" w:rsidRDefault="00EE3A5F" w:rsidP="00BB79D6">
            <w:pPr>
              <w:jc w:val="both"/>
              <w:rPr>
                <w:rFonts w:cstheme="minorHAnsi"/>
                <w:lang w:eastAsia="hr-HR"/>
              </w:rPr>
            </w:pPr>
            <w:r w:rsidRPr="00905E03">
              <w:rPr>
                <w:rFonts w:eastAsia="Times New Roman" w:cstheme="minorHAnsi"/>
              </w:rPr>
              <w:t xml:space="preserve"> </w:t>
            </w:r>
            <w:r w:rsidR="00BB79D6">
              <w:rPr>
                <w:rFonts w:eastAsia="Times New Roman" w:cstheme="minorHAnsi"/>
              </w:rPr>
              <w:t>- Prezentiranje drugog izvješća</w:t>
            </w:r>
            <w:r w:rsidR="00020C4F">
              <w:rPr>
                <w:rFonts w:eastAsia="Times New Roman" w:cstheme="minorHAnsi"/>
              </w:rPr>
              <w:t xml:space="preserve"> vrednovanja</w:t>
            </w:r>
            <w:r w:rsidR="00BB79D6">
              <w:rPr>
                <w:rFonts w:eastAsia="Times New Roman" w:cstheme="minorHAnsi"/>
              </w:rPr>
              <w:t xml:space="preserve"> na 2. sjednici Odbora za vrednovanje</w:t>
            </w:r>
          </w:p>
        </w:tc>
      </w:tr>
      <w:tr w:rsidR="00BB79D6" w:rsidRPr="00905E03" w14:paraId="7B909E0B" w14:textId="77777777" w:rsidTr="00020C4F">
        <w:trPr>
          <w:trHeight w:val="801"/>
        </w:trPr>
        <w:tc>
          <w:tcPr>
            <w:tcW w:w="4358" w:type="dxa"/>
          </w:tcPr>
          <w:p w14:paraId="062FB771" w14:textId="3E547069" w:rsidR="00EE3A5F" w:rsidRPr="00905E03" w:rsidRDefault="00EE3A5F" w:rsidP="00EE3A5F">
            <w:pPr>
              <w:spacing w:after="200" w:line="276" w:lineRule="auto"/>
              <w:jc w:val="both"/>
              <w:rPr>
                <w:rFonts w:cstheme="minorHAnsi"/>
                <w:lang w:eastAsia="hr-HR"/>
              </w:rPr>
            </w:pPr>
            <w:r w:rsidRPr="00905E03">
              <w:rPr>
                <w:rFonts w:cstheme="minorHAnsi"/>
                <w:lang w:eastAsia="hr-HR"/>
              </w:rPr>
              <w:t>1</w:t>
            </w:r>
            <w:r w:rsidR="00BB79D6">
              <w:rPr>
                <w:rFonts w:cstheme="minorHAnsi"/>
                <w:lang w:eastAsia="hr-HR"/>
              </w:rPr>
              <w:t>3</w:t>
            </w:r>
            <w:r>
              <w:rPr>
                <w:rFonts w:cstheme="minorHAnsi"/>
                <w:lang w:eastAsia="hr-HR"/>
              </w:rPr>
              <w:t>.</w:t>
            </w:r>
            <w:r w:rsidR="00BB79D6">
              <w:rPr>
                <w:rFonts w:cstheme="minorHAnsi"/>
                <w:lang w:eastAsia="hr-HR"/>
              </w:rPr>
              <w:t>1 24</w:t>
            </w:r>
            <w:r>
              <w:rPr>
                <w:rFonts w:cstheme="minorHAnsi"/>
                <w:lang w:eastAsia="hr-HR"/>
              </w:rPr>
              <w:t>.</w:t>
            </w:r>
            <w:r w:rsidRPr="00905E03">
              <w:rPr>
                <w:rFonts w:cstheme="minorHAnsi"/>
                <w:lang w:eastAsia="hr-HR"/>
              </w:rPr>
              <w:t>-</w:t>
            </w:r>
            <w:r w:rsidR="00BB79D6">
              <w:rPr>
                <w:rFonts w:cstheme="minorHAnsi"/>
                <w:lang w:eastAsia="hr-HR"/>
              </w:rPr>
              <w:t>1.2.24</w:t>
            </w:r>
            <w:r>
              <w:rPr>
                <w:rFonts w:cstheme="minorHAnsi"/>
                <w:lang w:eastAsia="hr-HR"/>
              </w:rPr>
              <w:t>.</w:t>
            </w:r>
            <w:r w:rsidRPr="00905E03">
              <w:rPr>
                <w:rFonts w:cstheme="minorHAnsi"/>
                <w:lang w:eastAsia="hr-HR"/>
              </w:rPr>
              <w:t xml:space="preserve"> </w:t>
            </w:r>
          </w:p>
        </w:tc>
        <w:tc>
          <w:tcPr>
            <w:tcW w:w="4318" w:type="dxa"/>
          </w:tcPr>
          <w:p w14:paraId="6F9D2B3C" w14:textId="07A4229C" w:rsidR="00EE3A5F" w:rsidRPr="00905E03" w:rsidRDefault="00BB79D6" w:rsidP="00EE3A5F">
            <w:pPr>
              <w:jc w:val="both"/>
              <w:rPr>
                <w:rFonts w:eastAsia="Times New Roman" w:cstheme="minorHAnsi"/>
              </w:rPr>
            </w:pPr>
            <w:r>
              <w:rPr>
                <w:rFonts w:eastAsia="Times New Roman" w:cstheme="minorHAnsi"/>
              </w:rPr>
              <w:t xml:space="preserve">- </w:t>
            </w:r>
            <w:r w:rsidR="00EE3A5F" w:rsidRPr="00905E03">
              <w:rPr>
                <w:rFonts w:eastAsia="Times New Roman" w:cstheme="minorHAnsi"/>
              </w:rPr>
              <w:t xml:space="preserve">Izrada </w:t>
            </w:r>
            <w:r>
              <w:rPr>
                <w:rFonts w:eastAsia="Times New Roman" w:cstheme="minorHAnsi"/>
              </w:rPr>
              <w:t xml:space="preserve">Izvješća o provedenom postupku vrednovanja </w:t>
            </w:r>
          </w:p>
        </w:tc>
      </w:tr>
      <w:tr w:rsidR="00BB79D6" w:rsidRPr="00905E03" w14:paraId="1EF0DCD5" w14:textId="77777777" w:rsidTr="00020C4F">
        <w:tc>
          <w:tcPr>
            <w:tcW w:w="4358" w:type="dxa"/>
          </w:tcPr>
          <w:p w14:paraId="760C18EF" w14:textId="00C6D2C9" w:rsidR="00EE3A5F" w:rsidRPr="00905E03" w:rsidRDefault="00BB79D6" w:rsidP="00EE3A5F">
            <w:pPr>
              <w:spacing w:after="200" w:line="276" w:lineRule="auto"/>
              <w:jc w:val="both"/>
              <w:rPr>
                <w:rFonts w:cstheme="minorHAnsi"/>
                <w:lang w:eastAsia="hr-HR"/>
              </w:rPr>
            </w:pPr>
            <w:r>
              <w:rPr>
                <w:rFonts w:cstheme="minorHAnsi"/>
                <w:lang w:eastAsia="hr-HR"/>
              </w:rPr>
              <w:t>2.2.24.-5.2.24.</w:t>
            </w:r>
          </w:p>
        </w:tc>
        <w:tc>
          <w:tcPr>
            <w:tcW w:w="4318" w:type="dxa"/>
          </w:tcPr>
          <w:p w14:paraId="1AA60C13" w14:textId="77777777" w:rsidR="00BB79D6" w:rsidRPr="00905E03" w:rsidRDefault="00BB79D6" w:rsidP="00BB79D6">
            <w:pPr>
              <w:jc w:val="both"/>
              <w:rPr>
                <w:rFonts w:eastAsia="Times New Roman" w:cstheme="minorHAnsi"/>
              </w:rPr>
            </w:pPr>
            <w:r>
              <w:rPr>
                <w:rFonts w:eastAsia="Times New Roman" w:cstheme="minorHAnsi"/>
              </w:rPr>
              <w:t>- Izrada prezentacije Izvješća o provedenom postupku vrednovanja za 3. sjednicu Odbora za vrednovanje</w:t>
            </w:r>
            <w:r w:rsidRPr="00905E03">
              <w:rPr>
                <w:rFonts w:eastAsia="Times New Roman" w:cstheme="minorHAnsi"/>
              </w:rPr>
              <w:t xml:space="preserve"> </w:t>
            </w:r>
          </w:p>
          <w:p w14:paraId="3E1DF947" w14:textId="1EF43BC7" w:rsidR="00EE3A5F" w:rsidRPr="00905E03" w:rsidRDefault="00EE3A5F" w:rsidP="00BB79D6">
            <w:pPr>
              <w:jc w:val="both"/>
              <w:rPr>
                <w:rFonts w:cstheme="minorHAnsi"/>
                <w:lang w:eastAsia="hr-HR"/>
              </w:rPr>
            </w:pPr>
          </w:p>
        </w:tc>
      </w:tr>
      <w:tr w:rsidR="00BB79D6" w:rsidRPr="00905E03" w14:paraId="34797F36" w14:textId="77777777" w:rsidTr="00020C4F">
        <w:tc>
          <w:tcPr>
            <w:tcW w:w="4358" w:type="dxa"/>
          </w:tcPr>
          <w:p w14:paraId="19548829" w14:textId="450BD19D" w:rsidR="00EE3A5F" w:rsidRPr="00905E03" w:rsidRDefault="00BB79D6" w:rsidP="00EE3A5F">
            <w:pPr>
              <w:spacing w:after="200" w:line="276" w:lineRule="auto"/>
              <w:jc w:val="both"/>
              <w:rPr>
                <w:rFonts w:cstheme="minorHAnsi"/>
                <w:lang w:eastAsia="hr-HR"/>
              </w:rPr>
            </w:pPr>
            <w:r>
              <w:rPr>
                <w:rFonts w:cstheme="minorHAnsi"/>
                <w:lang w:eastAsia="hr-HR"/>
              </w:rPr>
              <w:t>6.2.24</w:t>
            </w:r>
            <w:r w:rsidR="00EE3A5F" w:rsidRPr="00905E03">
              <w:rPr>
                <w:rFonts w:cstheme="minorHAnsi"/>
                <w:lang w:eastAsia="hr-HR"/>
              </w:rPr>
              <w:t>.</w:t>
            </w:r>
          </w:p>
        </w:tc>
        <w:tc>
          <w:tcPr>
            <w:tcW w:w="4318" w:type="dxa"/>
          </w:tcPr>
          <w:p w14:paraId="7EB95A81" w14:textId="4A784653" w:rsidR="00BB79D6" w:rsidRPr="00905E03" w:rsidRDefault="00BB79D6" w:rsidP="00BB79D6">
            <w:pPr>
              <w:jc w:val="both"/>
              <w:rPr>
                <w:rFonts w:eastAsia="Times New Roman" w:cstheme="minorHAnsi"/>
              </w:rPr>
            </w:pPr>
            <w:r>
              <w:rPr>
                <w:rFonts w:eastAsia="Times New Roman" w:cstheme="minorHAnsi"/>
              </w:rPr>
              <w:t>- Prezentiranje Izvješća o provedenom postupku vrednovanja za 3. sjednici Odbora za vrednovanje</w:t>
            </w:r>
            <w:r w:rsidRPr="00905E03">
              <w:rPr>
                <w:rFonts w:eastAsia="Times New Roman" w:cstheme="minorHAnsi"/>
              </w:rPr>
              <w:t xml:space="preserve"> </w:t>
            </w:r>
          </w:p>
          <w:p w14:paraId="2114C295" w14:textId="375CD08C" w:rsidR="00EE3A5F" w:rsidRPr="00905E03" w:rsidRDefault="00EE3A5F" w:rsidP="00BB79D6">
            <w:pPr>
              <w:jc w:val="both"/>
              <w:rPr>
                <w:rFonts w:eastAsia="Times New Roman" w:cstheme="minorHAnsi"/>
              </w:rPr>
            </w:pPr>
          </w:p>
        </w:tc>
      </w:tr>
      <w:tr w:rsidR="00BB79D6" w:rsidRPr="00905E03" w14:paraId="03F5BDB0" w14:textId="77777777" w:rsidTr="00020C4F">
        <w:tc>
          <w:tcPr>
            <w:tcW w:w="4358" w:type="dxa"/>
          </w:tcPr>
          <w:p w14:paraId="3412041F" w14:textId="21505CE2" w:rsidR="00EE3A5F" w:rsidRPr="00905E03" w:rsidRDefault="00BB79D6" w:rsidP="00EE3A5F">
            <w:pPr>
              <w:spacing w:after="200" w:line="276" w:lineRule="auto"/>
              <w:jc w:val="both"/>
              <w:rPr>
                <w:rFonts w:cstheme="minorHAnsi"/>
                <w:lang w:eastAsia="hr-HR"/>
              </w:rPr>
            </w:pPr>
            <w:r>
              <w:rPr>
                <w:rFonts w:cstheme="minorHAnsi"/>
                <w:lang w:eastAsia="hr-HR"/>
              </w:rPr>
              <w:t>7.-9.</w:t>
            </w:r>
            <w:r w:rsidR="00020C4F">
              <w:rPr>
                <w:rFonts w:cstheme="minorHAnsi"/>
                <w:lang w:eastAsia="hr-HR"/>
              </w:rPr>
              <w:t>2.</w:t>
            </w:r>
            <w:r>
              <w:rPr>
                <w:rFonts w:cstheme="minorHAnsi"/>
                <w:lang w:eastAsia="hr-HR"/>
              </w:rPr>
              <w:t>24.</w:t>
            </w:r>
          </w:p>
        </w:tc>
        <w:tc>
          <w:tcPr>
            <w:tcW w:w="4318" w:type="dxa"/>
          </w:tcPr>
          <w:p w14:paraId="3234FA5F" w14:textId="747DE3ED" w:rsidR="00EE3A5F" w:rsidRPr="00905E03" w:rsidRDefault="00EE3A5F" w:rsidP="00EE3A5F">
            <w:pPr>
              <w:jc w:val="both"/>
              <w:rPr>
                <w:rFonts w:eastAsia="Times New Roman" w:cstheme="minorHAnsi"/>
              </w:rPr>
            </w:pPr>
            <w:r w:rsidRPr="00905E03">
              <w:rPr>
                <w:rFonts w:eastAsia="Times New Roman" w:cstheme="minorHAnsi"/>
              </w:rPr>
              <w:t xml:space="preserve"> </w:t>
            </w:r>
            <w:r w:rsidR="00BB79D6">
              <w:rPr>
                <w:rFonts w:eastAsia="Times New Roman" w:cstheme="minorHAnsi"/>
              </w:rPr>
              <w:t>- Finalizacija postupka vrednovanja Strategije</w:t>
            </w:r>
          </w:p>
          <w:p w14:paraId="3575D193" w14:textId="77777777" w:rsidR="00EE3A5F" w:rsidRPr="00905E03" w:rsidRDefault="00EE3A5F" w:rsidP="00EE3A5F">
            <w:pPr>
              <w:jc w:val="both"/>
              <w:rPr>
                <w:rFonts w:eastAsia="Times New Roman" w:cstheme="minorHAnsi"/>
              </w:rPr>
            </w:pPr>
          </w:p>
        </w:tc>
      </w:tr>
    </w:tbl>
    <w:p w14:paraId="557E36F4" w14:textId="77777777" w:rsidR="00EE3A5F" w:rsidRPr="00905E03" w:rsidRDefault="00EE3A5F" w:rsidP="00EE3A5F">
      <w:pPr>
        <w:spacing w:after="0" w:line="240" w:lineRule="auto"/>
        <w:jc w:val="both"/>
        <w:rPr>
          <w:rFonts w:cstheme="minorHAnsi"/>
          <w:lang w:eastAsia="hr-HR"/>
        </w:rPr>
      </w:pP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6379"/>
        <w:gridCol w:w="2344"/>
      </w:tblGrid>
      <w:tr w:rsidR="00EE3A5F" w:rsidRPr="00905E03" w14:paraId="68E0A299" w14:textId="77777777" w:rsidTr="00EE3A5F">
        <w:trPr>
          <w:gridAfter w:val="1"/>
          <w:wAfter w:w="2299" w:type="dxa"/>
          <w:tblCellSpacing w:w="15" w:type="dxa"/>
        </w:trPr>
        <w:tc>
          <w:tcPr>
            <w:tcW w:w="6334" w:type="dxa"/>
            <w:vAlign w:val="center"/>
          </w:tcPr>
          <w:p w14:paraId="660F0285" w14:textId="77777777" w:rsidR="00EE3A5F" w:rsidRPr="00905E03" w:rsidRDefault="00EE3A5F" w:rsidP="00EE3A5F">
            <w:pPr>
              <w:spacing w:after="0" w:line="240" w:lineRule="auto"/>
              <w:jc w:val="both"/>
              <w:rPr>
                <w:rFonts w:eastAsia="Times New Roman" w:cstheme="minorHAnsi"/>
              </w:rPr>
            </w:pPr>
          </w:p>
        </w:tc>
      </w:tr>
      <w:tr w:rsidR="00EE3A5F" w:rsidRPr="00905E03" w14:paraId="034AAE2F" w14:textId="77777777" w:rsidTr="00EE3A5F">
        <w:trPr>
          <w:tblCellSpacing w:w="15" w:type="dxa"/>
        </w:trPr>
        <w:tc>
          <w:tcPr>
            <w:tcW w:w="6334" w:type="dxa"/>
            <w:vAlign w:val="center"/>
          </w:tcPr>
          <w:p w14:paraId="0CCAB235" w14:textId="77777777" w:rsidR="00EE3A5F" w:rsidRPr="001352CB" w:rsidRDefault="00EE3A5F" w:rsidP="00EE3A5F">
            <w:pPr>
              <w:spacing w:after="200" w:line="276" w:lineRule="auto"/>
              <w:jc w:val="both"/>
              <w:rPr>
                <w:rFonts w:ascii="Times New Roman" w:eastAsia="Times New Roman" w:hAnsi="Times New Roman" w:cs="Times New Roman"/>
                <w:b/>
                <w:bCs/>
                <w:sz w:val="24"/>
                <w:szCs w:val="24"/>
              </w:rPr>
            </w:pPr>
          </w:p>
        </w:tc>
        <w:tc>
          <w:tcPr>
            <w:tcW w:w="2299" w:type="dxa"/>
            <w:vAlign w:val="center"/>
          </w:tcPr>
          <w:p w14:paraId="572360F0" w14:textId="77777777" w:rsidR="00EE3A5F" w:rsidRPr="001352CB" w:rsidRDefault="00EE3A5F" w:rsidP="00EE3A5F">
            <w:pPr>
              <w:spacing w:after="200" w:line="276" w:lineRule="auto"/>
              <w:jc w:val="both"/>
              <w:rPr>
                <w:rFonts w:ascii="Times New Roman" w:eastAsia="Times New Roman" w:hAnsi="Times New Roman" w:cs="Times New Roman"/>
                <w:sz w:val="24"/>
                <w:szCs w:val="24"/>
              </w:rPr>
            </w:pPr>
          </w:p>
        </w:tc>
      </w:tr>
      <w:tr w:rsidR="00EE3A5F" w:rsidRPr="00905E03" w14:paraId="0061580A" w14:textId="77777777" w:rsidTr="00EE3A5F">
        <w:trPr>
          <w:tblCellSpacing w:w="15" w:type="dxa"/>
        </w:trPr>
        <w:tc>
          <w:tcPr>
            <w:tcW w:w="6334" w:type="dxa"/>
            <w:vAlign w:val="center"/>
          </w:tcPr>
          <w:p w14:paraId="6308F021" w14:textId="77777777" w:rsidR="00EE3A5F" w:rsidRPr="001352CB" w:rsidRDefault="00EE3A5F" w:rsidP="00EE3A5F">
            <w:pPr>
              <w:spacing w:after="200" w:line="276" w:lineRule="auto"/>
              <w:jc w:val="both"/>
              <w:rPr>
                <w:rFonts w:ascii="Times New Roman" w:eastAsia="Times New Roman" w:hAnsi="Times New Roman" w:cs="Times New Roman"/>
                <w:b/>
                <w:bCs/>
                <w:sz w:val="24"/>
                <w:szCs w:val="24"/>
              </w:rPr>
            </w:pPr>
          </w:p>
        </w:tc>
        <w:tc>
          <w:tcPr>
            <w:tcW w:w="2299" w:type="dxa"/>
            <w:vAlign w:val="center"/>
          </w:tcPr>
          <w:p w14:paraId="68F0FE86" w14:textId="77777777" w:rsidR="00EE3A5F" w:rsidRPr="001352CB" w:rsidRDefault="00EE3A5F" w:rsidP="00EE3A5F">
            <w:pPr>
              <w:spacing w:after="200" w:line="276" w:lineRule="auto"/>
              <w:jc w:val="both"/>
              <w:rPr>
                <w:rFonts w:ascii="Times New Roman" w:eastAsia="Times New Roman" w:hAnsi="Times New Roman" w:cs="Times New Roman"/>
                <w:sz w:val="24"/>
                <w:szCs w:val="24"/>
              </w:rPr>
            </w:pPr>
          </w:p>
        </w:tc>
      </w:tr>
    </w:tbl>
    <w:p w14:paraId="6A06B8B1" w14:textId="02B51FC1" w:rsidR="00EE3A5F" w:rsidRPr="004F7D61" w:rsidRDefault="00EE3A5F" w:rsidP="004F7D61">
      <w:pPr>
        <w:pStyle w:val="Naslov1"/>
        <w:rPr>
          <w:b/>
        </w:rPr>
      </w:pPr>
      <w:r w:rsidRPr="004F7D61">
        <w:rPr>
          <w:b/>
        </w:rPr>
        <w:t>PRILOG 3</w:t>
      </w:r>
    </w:p>
    <w:p w14:paraId="5865CE6F" w14:textId="77777777" w:rsidR="00224015" w:rsidRDefault="00224015" w:rsidP="004F7D61">
      <w:pPr>
        <w:pStyle w:val="Naslov2"/>
        <w:rPr>
          <w:rFonts w:eastAsia="Times New Roman"/>
          <w:b/>
        </w:rPr>
      </w:pPr>
    </w:p>
    <w:p w14:paraId="1EE85E5B" w14:textId="6E734D35" w:rsidR="00EE3A5F" w:rsidRPr="004F7D61" w:rsidRDefault="00EE3A5F" w:rsidP="004F7D61">
      <w:pPr>
        <w:pStyle w:val="Naslov2"/>
        <w:rPr>
          <w:rFonts w:eastAsia="Times New Roman"/>
          <w:b/>
        </w:rPr>
      </w:pPr>
      <w:r w:rsidRPr="004F7D61">
        <w:rPr>
          <w:rFonts w:eastAsia="Times New Roman"/>
          <w:b/>
        </w:rPr>
        <w:t>OPIS KORIŠTENE METODOLOGIJE VREDNOVANJA I OGRANIČENJA ISTRAŽIVANJA</w:t>
      </w:r>
    </w:p>
    <w:p w14:paraId="7AB250BC" w14:textId="77777777" w:rsidR="004F7D61" w:rsidRDefault="004F7D61" w:rsidP="00EE3A5F">
      <w:pPr>
        <w:pStyle w:val="box460819"/>
        <w:spacing w:before="0" w:beforeAutospacing="0" w:after="200" w:afterAutospacing="0" w:line="276" w:lineRule="auto"/>
        <w:jc w:val="both"/>
        <w:rPr>
          <w:rFonts w:asciiTheme="minorHAnsi" w:hAnsiTheme="minorHAnsi" w:cstheme="minorHAnsi"/>
          <w:b/>
          <w:sz w:val="22"/>
          <w:szCs w:val="22"/>
          <w:u w:val="single"/>
        </w:rPr>
      </w:pPr>
    </w:p>
    <w:p w14:paraId="53788CCB" w14:textId="043B86E2" w:rsidR="00EE3A5F" w:rsidRPr="00301F43" w:rsidRDefault="00EE3A5F" w:rsidP="00EE3A5F">
      <w:pPr>
        <w:pStyle w:val="box460819"/>
        <w:spacing w:before="0" w:beforeAutospacing="0" w:after="200" w:afterAutospacing="0" w:line="276" w:lineRule="auto"/>
        <w:jc w:val="both"/>
        <w:rPr>
          <w:rFonts w:asciiTheme="minorHAnsi" w:hAnsiTheme="minorHAnsi" w:cstheme="minorHAnsi"/>
          <w:b/>
          <w:i/>
          <w:sz w:val="22"/>
          <w:szCs w:val="22"/>
          <w:u w:val="single"/>
        </w:rPr>
      </w:pPr>
      <w:r w:rsidRPr="00301F43">
        <w:rPr>
          <w:rFonts w:asciiTheme="minorHAnsi" w:hAnsiTheme="minorHAnsi" w:cstheme="minorHAnsi"/>
          <w:b/>
          <w:sz w:val="22"/>
          <w:szCs w:val="22"/>
          <w:u w:val="single"/>
        </w:rPr>
        <w:t>Metode vrednovanja</w:t>
      </w:r>
    </w:p>
    <w:p w14:paraId="52BE2960" w14:textId="77777777" w:rsidR="00EE3A5F" w:rsidRPr="00301F43" w:rsidRDefault="00EE3A5F" w:rsidP="00EE3A5F">
      <w:pPr>
        <w:spacing w:after="200" w:line="276" w:lineRule="auto"/>
        <w:jc w:val="both"/>
        <w:rPr>
          <w:rFonts w:eastAsiaTheme="minorEastAsia" w:cstheme="minorHAnsi"/>
          <w:color w:val="222222"/>
          <w:lang w:eastAsia="en-GB"/>
        </w:rPr>
      </w:pPr>
      <w:r>
        <w:rPr>
          <w:rFonts w:eastAsiaTheme="minorEastAsia" w:cstheme="minorHAnsi"/>
          <w:color w:val="222222"/>
          <w:lang w:eastAsia="en-GB"/>
        </w:rPr>
        <w:t>Kao što je detaljnije obrazloženo u poglavlju 5. Izvješća, p</w:t>
      </w:r>
      <w:r w:rsidRPr="00301F43">
        <w:rPr>
          <w:rFonts w:eastAsiaTheme="minorEastAsia" w:cstheme="minorHAnsi"/>
          <w:color w:val="222222"/>
          <w:lang w:eastAsia="en-GB"/>
        </w:rPr>
        <w:t xml:space="preserve">rimijenjene su uobičajene metode i alati,  koji su vezani za načela vrednovanja. Njihova primjena omogućila je da rezultati vrednovanja budu nepristrani te da olakšaju realizaciju svrhe vrednovanja. </w:t>
      </w:r>
    </w:p>
    <w:p w14:paraId="64463BB6" w14:textId="25D024D3" w:rsidR="00EE3A5F" w:rsidRPr="00301F43" w:rsidRDefault="00EE3A5F" w:rsidP="00EE3A5F">
      <w:pPr>
        <w:spacing w:after="200" w:line="276" w:lineRule="auto"/>
        <w:jc w:val="both"/>
        <w:rPr>
          <w:rFonts w:eastAsiaTheme="minorEastAsia" w:cstheme="minorHAnsi"/>
          <w:b/>
          <w:color w:val="222222"/>
          <w:lang w:eastAsia="en-GB"/>
        </w:rPr>
      </w:pPr>
      <w:r w:rsidRPr="00301F43">
        <w:rPr>
          <w:rFonts w:eastAsiaTheme="minorEastAsia" w:cstheme="minorHAnsi"/>
          <w:color w:val="222222"/>
          <w:lang w:eastAsia="en-GB"/>
        </w:rPr>
        <w:t xml:space="preserve">Vrednovanje je uključilo </w:t>
      </w:r>
      <w:r w:rsidRPr="00301F43">
        <w:rPr>
          <w:rFonts w:eastAsiaTheme="minorEastAsia" w:cstheme="minorHAnsi"/>
          <w:b/>
          <w:color w:val="222222"/>
          <w:lang w:eastAsia="en-GB"/>
        </w:rPr>
        <w:t>sljedeće metode:</w:t>
      </w:r>
    </w:p>
    <w:p w14:paraId="756DAE46" w14:textId="77777777" w:rsidR="00EE3A5F" w:rsidRPr="00301F43" w:rsidRDefault="00EE3A5F" w:rsidP="009D0757">
      <w:pPr>
        <w:numPr>
          <w:ilvl w:val="0"/>
          <w:numId w:val="5"/>
        </w:numPr>
        <w:spacing w:after="200" w:line="276" w:lineRule="auto"/>
        <w:jc w:val="both"/>
        <w:rPr>
          <w:rFonts w:eastAsiaTheme="minorEastAsia" w:cstheme="minorHAnsi"/>
          <w:color w:val="222222"/>
          <w:lang w:eastAsia="en-GB"/>
        </w:rPr>
      </w:pPr>
      <w:r w:rsidRPr="00301F43">
        <w:rPr>
          <w:rFonts w:eastAsiaTheme="minorEastAsia" w:cstheme="minorHAnsi"/>
          <w:b/>
          <w:color w:val="222222"/>
          <w:lang w:eastAsia="en-GB"/>
        </w:rPr>
        <w:t>Istraživanje sekundarnih izvora</w:t>
      </w:r>
      <w:r w:rsidRPr="00301F43">
        <w:rPr>
          <w:rFonts w:eastAsiaTheme="minorEastAsia" w:cstheme="minorHAnsi"/>
          <w:color w:val="222222"/>
          <w:lang w:eastAsia="en-GB"/>
        </w:rPr>
        <w:t xml:space="preserve">: pregled svih zaprimljenih relevantnih dokumenata od Izrađivača i </w:t>
      </w:r>
      <w:r>
        <w:rPr>
          <w:rFonts w:eastAsiaTheme="minorEastAsia" w:cstheme="minorHAnsi"/>
          <w:color w:val="222222"/>
          <w:lang w:eastAsia="en-GB"/>
        </w:rPr>
        <w:t>N</w:t>
      </w:r>
      <w:r w:rsidRPr="00301F43">
        <w:rPr>
          <w:rFonts w:eastAsiaTheme="minorEastAsia" w:cstheme="minorHAnsi"/>
          <w:color w:val="222222"/>
          <w:lang w:eastAsia="en-GB"/>
        </w:rPr>
        <w:t>aručitelja te prikupljanje i analiza dodatnih dokumenata i izvora (nacionalnih,  EU</w:t>
      </w:r>
      <w:r>
        <w:rPr>
          <w:rFonts w:eastAsiaTheme="minorEastAsia" w:cstheme="minorHAnsi"/>
          <w:color w:val="222222"/>
          <w:lang w:eastAsia="en-GB"/>
        </w:rPr>
        <w:t>-a</w:t>
      </w:r>
      <w:r w:rsidRPr="00301F43">
        <w:rPr>
          <w:rFonts w:eastAsiaTheme="minorEastAsia" w:cstheme="minorHAnsi"/>
          <w:color w:val="222222"/>
          <w:lang w:eastAsia="en-GB"/>
        </w:rPr>
        <w:t xml:space="preserve"> i dr.)  koji se odnose na problematiku, tj. svih informacija neophodnih za vrednovanje </w:t>
      </w:r>
      <w:r>
        <w:rPr>
          <w:rFonts w:eastAsiaTheme="minorEastAsia" w:cstheme="minorHAnsi"/>
          <w:color w:val="222222"/>
          <w:lang w:eastAsia="en-GB"/>
        </w:rPr>
        <w:t>i</w:t>
      </w:r>
      <w:r w:rsidRPr="00301F43">
        <w:rPr>
          <w:rFonts w:eastAsiaTheme="minorEastAsia" w:cstheme="minorHAnsi"/>
          <w:color w:val="222222"/>
          <w:lang w:eastAsia="en-GB"/>
        </w:rPr>
        <w:t xml:space="preserve"> provedbu kvantitativnih i kvalitativnih analiza. </w:t>
      </w:r>
    </w:p>
    <w:p w14:paraId="0BC3A89F" w14:textId="77777777" w:rsidR="00EE3A5F" w:rsidRPr="00301F43" w:rsidRDefault="00EE3A5F" w:rsidP="009D0757">
      <w:pPr>
        <w:numPr>
          <w:ilvl w:val="0"/>
          <w:numId w:val="5"/>
        </w:numPr>
        <w:spacing w:after="200" w:line="276" w:lineRule="auto"/>
        <w:jc w:val="both"/>
        <w:rPr>
          <w:rFonts w:eastAsiaTheme="minorEastAsia" w:cstheme="minorHAnsi"/>
          <w:color w:val="222222"/>
          <w:lang w:eastAsia="en-GB"/>
        </w:rPr>
      </w:pPr>
      <w:r>
        <w:rPr>
          <w:rFonts w:eastAsiaTheme="minorEastAsia" w:cstheme="minorHAnsi"/>
          <w:b/>
          <w:color w:val="222222"/>
          <w:lang w:eastAsia="en-GB"/>
        </w:rPr>
        <w:t>Sintezu</w:t>
      </w:r>
      <w:r w:rsidRPr="00301F43">
        <w:rPr>
          <w:rFonts w:eastAsiaTheme="minorEastAsia" w:cstheme="minorHAnsi"/>
          <w:b/>
          <w:color w:val="222222"/>
          <w:lang w:eastAsia="en-GB"/>
        </w:rPr>
        <w:t xml:space="preserve"> nalaza</w:t>
      </w:r>
      <w:r w:rsidRPr="00301F43">
        <w:rPr>
          <w:rFonts w:eastAsiaTheme="minorEastAsia" w:cstheme="minorHAnsi"/>
          <w:color w:val="222222"/>
          <w:lang w:eastAsia="en-GB"/>
        </w:rPr>
        <w:t xml:space="preserve">: analiza nalaza, potvrda uzročno-posljedičnih odnosa, nalazi i zaključci po svakom evaluacijskom pitanju temeljem primjene ključnih evaluacijskih pitanja. </w:t>
      </w:r>
    </w:p>
    <w:p w14:paraId="6C289288" w14:textId="6440B8AE" w:rsidR="00EE3A5F" w:rsidRPr="009C7B29" w:rsidRDefault="00EE3A5F" w:rsidP="009D0757">
      <w:pPr>
        <w:numPr>
          <w:ilvl w:val="0"/>
          <w:numId w:val="5"/>
        </w:numPr>
        <w:spacing w:after="200" w:line="276" w:lineRule="auto"/>
        <w:jc w:val="both"/>
        <w:rPr>
          <w:rFonts w:eastAsiaTheme="minorEastAsia" w:cstheme="minorHAnsi"/>
          <w:color w:val="222222"/>
          <w:lang w:eastAsia="en-GB"/>
        </w:rPr>
      </w:pPr>
      <w:r w:rsidRPr="00301F43">
        <w:rPr>
          <w:rFonts w:eastAsiaTheme="minorEastAsia" w:cstheme="minorHAnsi"/>
          <w:color w:val="222222"/>
          <w:lang w:eastAsia="en-GB"/>
        </w:rPr>
        <w:t xml:space="preserve">Prilikom realizacije vrednovanja uobičajeno je i primarno prikupljanje podataka (terensko </w:t>
      </w:r>
      <w:r w:rsidRPr="009C7B29">
        <w:rPr>
          <w:rFonts w:eastAsiaTheme="minorEastAsia" w:cstheme="minorHAnsi"/>
          <w:color w:val="222222"/>
          <w:lang w:eastAsia="en-GB"/>
        </w:rPr>
        <w:t xml:space="preserve">istraživanje) koje se  odnosi na razgovore s predstavnicima radne skupine i ostalim ključnim dionicima  te na realizaciju intervjua i fokus grupa s ključnim dionicima pokaže li se  to potrebnim. </w:t>
      </w:r>
      <w:r w:rsidR="00020C4F">
        <w:rPr>
          <w:rFonts w:eastAsiaTheme="minorEastAsia" w:cstheme="minorHAnsi"/>
          <w:color w:val="222222"/>
          <w:lang w:eastAsia="en-GB"/>
        </w:rPr>
        <w:t xml:space="preserve">Prilikom </w:t>
      </w:r>
      <w:r w:rsidRPr="009C7B29">
        <w:rPr>
          <w:rFonts w:eastAsiaTheme="minorEastAsia" w:cstheme="minorHAnsi"/>
          <w:color w:val="222222"/>
          <w:lang w:eastAsia="en-GB"/>
        </w:rPr>
        <w:t>vrednovanj</w:t>
      </w:r>
      <w:r w:rsidR="00020C4F">
        <w:rPr>
          <w:rFonts w:eastAsiaTheme="minorEastAsia" w:cstheme="minorHAnsi"/>
          <w:color w:val="222222"/>
          <w:lang w:eastAsia="en-GB"/>
        </w:rPr>
        <w:t>a Strategije</w:t>
      </w:r>
      <w:r w:rsidRPr="009C7B29">
        <w:rPr>
          <w:rFonts w:eastAsiaTheme="minorEastAsia" w:cstheme="minorHAnsi"/>
          <w:color w:val="222222"/>
          <w:lang w:eastAsia="en-GB"/>
        </w:rPr>
        <w:t xml:space="preserve"> nije bilo potrebe za korištenjem ove metode vrednovanja.</w:t>
      </w:r>
    </w:p>
    <w:p w14:paraId="6B8A6324" w14:textId="77777777" w:rsidR="00EE3A5F" w:rsidRDefault="00EE3A5F" w:rsidP="00EE3A5F">
      <w:pPr>
        <w:spacing w:after="200" w:line="276" w:lineRule="auto"/>
        <w:ind w:firstLine="720"/>
        <w:jc w:val="both"/>
        <w:rPr>
          <w:rFonts w:eastAsiaTheme="minorEastAsia" w:cstheme="minorHAnsi"/>
          <w:b/>
          <w:color w:val="222222"/>
          <w:u w:val="single"/>
        </w:rPr>
      </w:pPr>
    </w:p>
    <w:p w14:paraId="370A401C" w14:textId="77777777" w:rsidR="00EE3A5F" w:rsidRPr="009C7B29" w:rsidRDefault="00EE3A5F" w:rsidP="00EE3A5F">
      <w:pPr>
        <w:spacing w:after="200" w:line="276" w:lineRule="auto"/>
        <w:jc w:val="both"/>
        <w:rPr>
          <w:rFonts w:eastAsiaTheme="minorEastAsia" w:cstheme="minorHAnsi"/>
          <w:color w:val="222222"/>
        </w:rPr>
      </w:pPr>
      <w:r w:rsidRPr="009C7B29">
        <w:rPr>
          <w:rFonts w:eastAsiaTheme="minorEastAsia" w:cstheme="minorHAnsi"/>
          <w:b/>
          <w:color w:val="222222"/>
        </w:rPr>
        <w:t>Tijekom realizacije vrednovanja korištene su prvenstveno slijedeće metode analize podataka</w:t>
      </w:r>
      <w:r w:rsidRPr="009C7B29">
        <w:rPr>
          <w:rFonts w:eastAsiaTheme="minorEastAsia" w:cstheme="minorHAnsi"/>
          <w:color w:val="222222"/>
        </w:rPr>
        <w:t>:</w:t>
      </w:r>
    </w:p>
    <w:p w14:paraId="1F4A3888" w14:textId="77777777" w:rsidR="00EE3A5F" w:rsidRPr="004F7D61" w:rsidRDefault="00EE3A5F" w:rsidP="009D0757">
      <w:pPr>
        <w:pStyle w:val="Odlomakpopisa"/>
        <w:numPr>
          <w:ilvl w:val="0"/>
          <w:numId w:val="3"/>
        </w:numPr>
        <w:spacing w:after="200" w:line="276" w:lineRule="auto"/>
        <w:jc w:val="both"/>
        <w:rPr>
          <w:rFonts w:eastAsiaTheme="minorEastAsia" w:cstheme="minorHAnsi"/>
          <w:color w:val="222222"/>
        </w:rPr>
      </w:pPr>
      <w:r w:rsidRPr="004F7D61">
        <w:rPr>
          <w:rFonts w:eastAsiaTheme="minorEastAsia" w:cstheme="minorHAnsi"/>
          <w:color w:val="222222"/>
        </w:rPr>
        <w:t>Analiza intervencijske logike</w:t>
      </w:r>
    </w:p>
    <w:p w14:paraId="7D678262" w14:textId="77777777" w:rsidR="00EE3A5F" w:rsidRPr="004F7D61" w:rsidRDefault="00EE3A5F" w:rsidP="009D0757">
      <w:pPr>
        <w:pStyle w:val="Odlomakpopisa"/>
        <w:numPr>
          <w:ilvl w:val="0"/>
          <w:numId w:val="3"/>
        </w:numPr>
        <w:spacing w:after="200" w:line="276" w:lineRule="auto"/>
        <w:jc w:val="both"/>
        <w:rPr>
          <w:rFonts w:eastAsiaTheme="minorEastAsia" w:cstheme="minorHAnsi"/>
          <w:color w:val="222222"/>
        </w:rPr>
      </w:pPr>
      <w:r w:rsidRPr="004F7D61">
        <w:rPr>
          <w:rFonts w:eastAsiaTheme="minorEastAsia" w:cstheme="minorHAnsi"/>
          <w:color w:val="222222"/>
        </w:rPr>
        <w:t>Analiza pokazatelja</w:t>
      </w:r>
    </w:p>
    <w:p w14:paraId="0701E6A9" w14:textId="21F9D53D" w:rsidR="00EE3A5F" w:rsidRPr="004F7D61" w:rsidRDefault="00EE3A5F" w:rsidP="009D0757">
      <w:pPr>
        <w:pStyle w:val="Odlomakpopisa"/>
        <w:numPr>
          <w:ilvl w:val="0"/>
          <w:numId w:val="3"/>
        </w:numPr>
        <w:spacing w:after="200" w:line="276" w:lineRule="auto"/>
        <w:jc w:val="both"/>
        <w:rPr>
          <w:rFonts w:eastAsiaTheme="minorEastAsia" w:cstheme="minorHAnsi"/>
          <w:color w:val="222222"/>
        </w:rPr>
      </w:pPr>
      <w:r w:rsidRPr="004F7D61">
        <w:rPr>
          <w:rFonts w:eastAsiaTheme="minorEastAsia" w:cstheme="minorHAnsi"/>
          <w:color w:val="222222"/>
        </w:rPr>
        <w:t>Kvalitativna analiza</w:t>
      </w:r>
    </w:p>
    <w:p w14:paraId="08763977" w14:textId="5B9A48A8" w:rsidR="00020C4F" w:rsidRPr="009C7B29" w:rsidRDefault="00020C4F" w:rsidP="009D0757">
      <w:pPr>
        <w:pStyle w:val="Odlomakpopisa"/>
        <w:numPr>
          <w:ilvl w:val="0"/>
          <w:numId w:val="3"/>
        </w:numPr>
        <w:spacing w:after="200" w:line="276" w:lineRule="auto"/>
        <w:jc w:val="both"/>
        <w:rPr>
          <w:rFonts w:eastAsiaTheme="minorEastAsia" w:cstheme="minorHAnsi"/>
          <w:color w:val="222222"/>
        </w:rPr>
      </w:pPr>
      <w:r>
        <w:rPr>
          <w:rFonts w:eastAsiaTheme="minorEastAsia" w:cstheme="minorHAnsi"/>
          <w:color w:val="222222"/>
        </w:rPr>
        <w:t>Kontinuirane rasprave sa timom za vrednovanje</w:t>
      </w:r>
    </w:p>
    <w:p w14:paraId="6EFA9B03" w14:textId="1F4F152E" w:rsidR="00EE3A5F" w:rsidRPr="009C7B29" w:rsidRDefault="00EE3A5F" w:rsidP="009D0757">
      <w:pPr>
        <w:pStyle w:val="Odlomakpopisa"/>
        <w:numPr>
          <w:ilvl w:val="0"/>
          <w:numId w:val="3"/>
        </w:numPr>
        <w:spacing w:after="200" w:line="276" w:lineRule="auto"/>
        <w:jc w:val="both"/>
        <w:rPr>
          <w:rFonts w:eastAsiaTheme="minorEastAsia" w:cstheme="minorHAnsi"/>
          <w:color w:val="222222"/>
        </w:rPr>
      </w:pPr>
      <w:r w:rsidRPr="009C7B29">
        <w:rPr>
          <w:rFonts w:eastAsiaTheme="minorEastAsia" w:cstheme="minorHAnsi"/>
          <w:color w:val="222222"/>
        </w:rPr>
        <w:t xml:space="preserve">Rasprave </w:t>
      </w:r>
      <w:r w:rsidR="00020C4F">
        <w:rPr>
          <w:rFonts w:eastAsiaTheme="minorEastAsia" w:cstheme="minorHAnsi"/>
          <w:color w:val="222222"/>
        </w:rPr>
        <w:t xml:space="preserve">sa Izrađivačem i </w:t>
      </w:r>
      <w:r w:rsidRPr="009C7B29">
        <w:rPr>
          <w:rFonts w:eastAsiaTheme="minorEastAsia" w:cstheme="minorHAnsi"/>
          <w:color w:val="222222"/>
        </w:rPr>
        <w:t xml:space="preserve">ključnim dionicima </w:t>
      </w:r>
    </w:p>
    <w:p w14:paraId="1F19B615" w14:textId="54AD4C9E" w:rsidR="00EE3A5F" w:rsidRDefault="00EE3A5F" w:rsidP="00EE3A5F">
      <w:pPr>
        <w:spacing w:after="200" w:line="276" w:lineRule="auto"/>
        <w:ind w:left="360"/>
        <w:rPr>
          <w:rFonts w:cstheme="minorHAnsi"/>
          <w:highlight w:val="green"/>
        </w:rPr>
      </w:pPr>
    </w:p>
    <w:p w14:paraId="17613081" w14:textId="77777777" w:rsidR="00224015" w:rsidRPr="009C7B29" w:rsidRDefault="00224015" w:rsidP="00EE3A5F">
      <w:pPr>
        <w:spacing w:after="200" w:line="276" w:lineRule="auto"/>
        <w:ind w:left="360"/>
        <w:rPr>
          <w:rFonts w:cstheme="minorHAnsi"/>
          <w:highlight w:val="green"/>
        </w:rPr>
      </w:pPr>
    </w:p>
    <w:p w14:paraId="386AFE00" w14:textId="77777777" w:rsidR="00EE3A5F" w:rsidRPr="00224015" w:rsidRDefault="00EE3A5F" w:rsidP="00EE3A5F">
      <w:pPr>
        <w:spacing w:after="200" w:line="276" w:lineRule="auto"/>
        <w:rPr>
          <w:rFonts w:cstheme="minorHAnsi"/>
          <w:b/>
        </w:rPr>
      </w:pPr>
      <w:r w:rsidRPr="00224015">
        <w:rPr>
          <w:rFonts w:cstheme="minorHAnsi"/>
          <w:b/>
        </w:rPr>
        <w:lastRenderedPageBreak/>
        <w:t>Metodologija za odgovaranje na evaluacijska pitanja i donošenje zaključaka</w:t>
      </w:r>
    </w:p>
    <w:p w14:paraId="7B9F0C94" w14:textId="64090DD7" w:rsidR="00EE3A5F" w:rsidRPr="009C7B29" w:rsidRDefault="00020C4F" w:rsidP="00EE3A5F">
      <w:pPr>
        <w:spacing w:after="200" w:line="276" w:lineRule="auto"/>
        <w:jc w:val="both"/>
        <w:rPr>
          <w:rFonts w:eastAsiaTheme="minorEastAsia" w:cstheme="minorHAnsi"/>
          <w:color w:val="222222"/>
        </w:rPr>
      </w:pPr>
      <w:r>
        <w:rPr>
          <w:rFonts w:eastAsiaTheme="minorEastAsia" w:cstheme="minorHAnsi"/>
          <w:color w:val="222222"/>
        </w:rPr>
        <w:t xml:space="preserve">Strategija je </w:t>
      </w:r>
      <w:r w:rsidR="00EE3A5F" w:rsidRPr="009C7B29">
        <w:rPr>
          <w:rFonts w:eastAsiaTheme="minorEastAsia" w:cstheme="minorHAnsi"/>
          <w:color w:val="222222"/>
        </w:rPr>
        <w:t>vrednovan</w:t>
      </w:r>
      <w:r>
        <w:rPr>
          <w:rFonts w:eastAsiaTheme="minorEastAsia" w:cstheme="minorHAnsi"/>
          <w:color w:val="222222"/>
        </w:rPr>
        <w:t>a</w:t>
      </w:r>
      <w:r w:rsidR="00EE3A5F" w:rsidRPr="009C7B29">
        <w:rPr>
          <w:rFonts w:eastAsiaTheme="minorEastAsia" w:cstheme="minorHAnsi"/>
          <w:color w:val="222222"/>
        </w:rPr>
        <w:t xml:space="preserve"> temeljem primjene spomenutih metoda, te su tijekom njihove izrade formulirani konstruktivni komentari i preporuke usmjerene poboljšanju svih dijelova</w:t>
      </w:r>
      <w:r>
        <w:rPr>
          <w:rFonts w:eastAsiaTheme="minorEastAsia" w:cstheme="minorHAnsi"/>
          <w:color w:val="222222"/>
        </w:rPr>
        <w:t xml:space="preserve"> Strategije</w:t>
      </w:r>
      <w:r w:rsidR="00EE3A5F" w:rsidRPr="009C7B29">
        <w:rPr>
          <w:rFonts w:eastAsiaTheme="minorEastAsia" w:cstheme="minorHAnsi"/>
          <w:color w:val="222222"/>
        </w:rPr>
        <w:t xml:space="preserve">. </w:t>
      </w:r>
    </w:p>
    <w:p w14:paraId="1FB28E04" w14:textId="77777777" w:rsidR="00EE3A5F" w:rsidRPr="009C7B29" w:rsidRDefault="00EE3A5F" w:rsidP="00EE3A5F">
      <w:pPr>
        <w:spacing w:after="200" w:line="276" w:lineRule="auto"/>
        <w:jc w:val="both"/>
        <w:rPr>
          <w:rFonts w:eastAsiaTheme="minorEastAsia" w:cstheme="minorHAnsi"/>
          <w:color w:val="222222"/>
        </w:rPr>
      </w:pPr>
      <w:r w:rsidRPr="009C7B29">
        <w:rPr>
          <w:rFonts w:eastAsiaTheme="minorEastAsia" w:cstheme="minorHAnsi"/>
          <w:color w:val="222222"/>
        </w:rPr>
        <w:t>Temeljem primjene evaluacijskih kriterija i navedenih metoda evaluacije u ovom su Izvješću prezentirani  odgovori na evaluacijska pitanja te zaključci vrednovanja.</w:t>
      </w:r>
    </w:p>
    <w:p w14:paraId="224F776B" w14:textId="77777777" w:rsidR="00224015" w:rsidRDefault="00224015" w:rsidP="00EE3A5F">
      <w:pPr>
        <w:pStyle w:val="Tekstkomentara"/>
        <w:spacing w:after="200" w:line="276" w:lineRule="auto"/>
        <w:jc w:val="both"/>
        <w:rPr>
          <w:rFonts w:cstheme="minorHAnsi"/>
          <w:b/>
          <w:sz w:val="22"/>
          <w:szCs w:val="22"/>
          <w:u w:val="single"/>
        </w:rPr>
      </w:pPr>
    </w:p>
    <w:p w14:paraId="1FFEF9DC" w14:textId="068E75F2" w:rsidR="00EE3A5F" w:rsidRPr="00301F43" w:rsidRDefault="00EE3A5F" w:rsidP="00EE3A5F">
      <w:pPr>
        <w:pStyle w:val="Tekstkomentara"/>
        <w:spacing w:after="200" w:line="276" w:lineRule="auto"/>
        <w:jc w:val="both"/>
        <w:rPr>
          <w:rFonts w:cstheme="minorHAnsi"/>
          <w:b/>
          <w:sz w:val="22"/>
          <w:szCs w:val="22"/>
          <w:u w:val="single"/>
        </w:rPr>
      </w:pPr>
      <w:r w:rsidRPr="00301F43">
        <w:rPr>
          <w:rFonts w:cstheme="minorHAnsi"/>
          <w:b/>
          <w:sz w:val="22"/>
          <w:szCs w:val="22"/>
          <w:u w:val="single"/>
        </w:rPr>
        <w:t>Moguća ograničenja</w:t>
      </w:r>
      <w:r>
        <w:rPr>
          <w:rFonts w:cstheme="minorHAnsi"/>
          <w:b/>
          <w:sz w:val="22"/>
          <w:szCs w:val="22"/>
          <w:u w:val="single"/>
        </w:rPr>
        <w:t xml:space="preserve"> istraživanja</w:t>
      </w:r>
      <w:r w:rsidRPr="00301F43">
        <w:rPr>
          <w:rFonts w:cstheme="minorHAnsi"/>
          <w:b/>
          <w:sz w:val="22"/>
          <w:szCs w:val="22"/>
          <w:u w:val="single"/>
        </w:rPr>
        <w:t xml:space="preserve"> </w:t>
      </w:r>
    </w:p>
    <w:p w14:paraId="11C70026" w14:textId="6A721B19" w:rsidR="00020C4F" w:rsidRDefault="00EE3A5F" w:rsidP="00020C4F">
      <w:pPr>
        <w:spacing w:after="200" w:line="276" w:lineRule="auto"/>
        <w:jc w:val="both"/>
        <w:rPr>
          <w:rFonts w:cstheme="minorHAnsi"/>
        </w:rPr>
      </w:pPr>
      <w:r w:rsidRPr="00301F43">
        <w:rPr>
          <w:rFonts w:cstheme="minorHAnsi"/>
        </w:rPr>
        <w:t>Primjena metodološkog pristupa u pravilu podrazumijeva i određene moguće probleme i ograničenja. Oni su prikazani u sljedećoj tablici:</w:t>
      </w:r>
      <w:r w:rsidR="00020C4F" w:rsidRPr="009C7B29">
        <w:rPr>
          <w:rFonts w:cstheme="minorHAnsi"/>
        </w:rPr>
        <w:t xml:space="preserve"> </w:t>
      </w:r>
    </w:p>
    <w:p w14:paraId="1A5D7E9C" w14:textId="77777777" w:rsidR="00020C4F" w:rsidRPr="00F50531" w:rsidRDefault="00020C4F" w:rsidP="00020C4F">
      <w:pPr>
        <w:spacing w:after="0" w:line="276" w:lineRule="auto"/>
        <w:jc w:val="both"/>
        <w:rPr>
          <w:rFonts w:cstheme="minorHAnsi"/>
        </w:rPr>
      </w:pPr>
    </w:p>
    <w:tbl>
      <w:tblPr>
        <w:tblStyle w:val="Reetkatablice"/>
        <w:tblW w:w="0" w:type="auto"/>
        <w:tblLook w:val="04A0" w:firstRow="1" w:lastRow="0" w:firstColumn="1" w:lastColumn="0" w:noHBand="0" w:noVBand="1"/>
      </w:tblPr>
      <w:tblGrid>
        <w:gridCol w:w="2827"/>
        <w:gridCol w:w="1351"/>
        <w:gridCol w:w="1062"/>
        <w:gridCol w:w="4156"/>
      </w:tblGrid>
      <w:tr w:rsidR="00020C4F" w:rsidRPr="002E6175" w14:paraId="1227EF0A" w14:textId="77777777" w:rsidTr="00736350">
        <w:tc>
          <w:tcPr>
            <w:tcW w:w="2827" w:type="dxa"/>
            <w:shd w:val="clear" w:color="auto" w:fill="auto"/>
            <w:hideMark/>
          </w:tcPr>
          <w:p w14:paraId="0FCEE11F" w14:textId="77777777" w:rsidR="00020C4F" w:rsidRPr="002E6175" w:rsidRDefault="00020C4F" w:rsidP="00736350">
            <w:pPr>
              <w:spacing w:line="276" w:lineRule="auto"/>
              <w:jc w:val="center"/>
              <w:rPr>
                <w:rFonts w:cstheme="minorHAnsi"/>
                <w:b/>
              </w:rPr>
            </w:pPr>
            <w:r w:rsidRPr="002E6175">
              <w:rPr>
                <w:rFonts w:cstheme="minorHAnsi"/>
                <w:b/>
              </w:rPr>
              <w:t>Rizici</w:t>
            </w:r>
          </w:p>
        </w:tc>
        <w:tc>
          <w:tcPr>
            <w:tcW w:w="1351" w:type="dxa"/>
            <w:shd w:val="clear" w:color="auto" w:fill="auto"/>
            <w:hideMark/>
          </w:tcPr>
          <w:p w14:paraId="0E9F0974" w14:textId="77777777" w:rsidR="00020C4F" w:rsidRPr="002E6175" w:rsidRDefault="00020C4F" w:rsidP="00736350">
            <w:pPr>
              <w:spacing w:line="276" w:lineRule="auto"/>
              <w:jc w:val="center"/>
              <w:rPr>
                <w:rFonts w:cstheme="minorHAnsi"/>
                <w:b/>
              </w:rPr>
            </w:pPr>
            <w:r w:rsidRPr="002E6175">
              <w:rPr>
                <w:rFonts w:cstheme="minorHAnsi"/>
                <w:b/>
              </w:rPr>
              <w:t>Vjerojatnost</w:t>
            </w:r>
          </w:p>
        </w:tc>
        <w:tc>
          <w:tcPr>
            <w:tcW w:w="1062" w:type="dxa"/>
            <w:shd w:val="clear" w:color="auto" w:fill="auto"/>
            <w:hideMark/>
          </w:tcPr>
          <w:p w14:paraId="063A5A8C" w14:textId="77777777" w:rsidR="00020C4F" w:rsidRPr="002E6175" w:rsidRDefault="00020C4F" w:rsidP="00736350">
            <w:pPr>
              <w:spacing w:line="276" w:lineRule="auto"/>
              <w:jc w:val="center"/>
              <w:rPr>
                <w:rFonts w:cstheme="minorHAnsi"/>
                <w:b/>
              </w:rPr>
            </w:pPr>
            <w:r w:rsidRPr="002E6175">
              <w:rPr>
                <w:rFonts w:cstheme="minorHAnsi"/>
                <w:b/>
              </w:rPr>
              <w:t>Učinak</w:t>
            </w:r>
          </w:p>
        </w:tc>
        <w:tc>
          <w:tcPr>
            <w:tcW w:w="4156" w:type="dxa"/>
            <w:shd w:val="clear" w:color="auto" w:fill="auto"/>
            <w:hideMark/>
          </w:tcPr>
          <w:p w14:paraId="07B05134" w14:textId="77777777" w:rsidR="00020C4F" w:rsidRPr="002E6175" w:rsidRDefault="00020C4F" w:rsidP="00736350">
            <w:pPr>
              <w:spacing w:line="276" w:lineRule="auto"/>
              <w:jc w:val="center"/>
              <w:rPr>
                <w:rFonts w:cstheme="minorHAnsi"/>
                <w:b/>
              </w:rPr>
            </w:pPr>
            <w:r w:rsidRPr="002E6175">
              <w:rPr>
                <w:rFonts w:cstheme="minorHAnsi"/>
                <w:b/>
              </w:rPr>
              <w:t>Mjere ublažavanja</w:t>
            </w:r>
          </w:p>
        </w:tc>
      </w:tr>
      <w:tr w:rsidR="00020C4F" w:rsidRPr="002E6175" w14:paraId="30A0B172" w14:textId="77777777" w:rsidTr="00736350">
        <w:trPr>
          <w:trHeight w:val="774"/>
        </w:trPr>
        <w:tc>
          <w:tcPr>
            <w:tcW w:w="2827" w:type="dxa"/>
            <w:shd w:val="clear" w:color="auto" w:fill="FFFFFF" w:themeFill="background1"/>
            <w:hideMark/>
          </w:tcPr>
          <w:p w14:paraId="210A207C" w14:textId="77777777" w:rsidR="00020C4F" w:rsidRPr="00F87286" w:rsidRDefault="00020C4F" w:rsidP="00736350">
            <w:pPr>
              <w:spacing w:line="276" w:lineRule="auto"/>
              <w:rPr>
                <w:rFonts w:cstheme="minorHAnsi"/>
                <w:sz w:val="18"/>
                <w:szCs w:val="18"/>
              </w:rPr>
            </w:pPr>
            <w:r w:rsidRPr="00F87286">
              <w:rPr>
                <w:rFonts w:cstheme="minorHAnsi"/>
                <w:sz w:val="18"/>
                <w:szCs w:val="18"/>
              </w:rPr>
              <w:t>Kašnjenje s dostavom dalj</w:t>
            </w:r>
            <w:r>
              <w:rPr>
                <w:rFonts w:cstheme="minorHAnsi"/>
                <w:sz w:val="18"/>
                <w:szCs w:val="18"/>
              </w:rPr>
              <w:t>njih verzija Nacrta Strategije</w:t>
            </w:r>
          </w:p>
        </w:tc>
        <w:tc>
          <w:tcPr>
            <w:tcW w:w="1351" w:type="dxa"/>
          </w:tcPr>
          <w:p w14:paraId="1C8D0453"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Srednja</w:t>
            </w:r>
          </w:p>
        </w:tc>
        <w:tc>
          <w:tcPr>
            <w:tcW w:w="1062" w:type="dxa"/>
            <w:hideMark/>
          </w:tcPr>
          <w:p w14:paraId="68EB9E5F"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Jak</w:t>
            </w:r>
          </w:p>
        </w:tc>
        <w:tc>
          <w:tcPr>
            <w:tcW w:w="4156" w:type="dxa"/>
            <w:hideMark/>
          </w:tcPr>
          <w:p w14:paraId="32278186" w14:textId="77777777" w:rsidR="00020C4F" w:rsidRPr="00F87286" w:rsidRDefault="00020C4F" w:rsidP="00736350">
            <w:pPr>
              <w:spacing w:line="276" w:lineRule="auto"/>
              <w:rPr>
                <w:rFonts w:cstheme="minorHAnsi"/>
                <w:sz w:val="18"/>
                <w:szCs w:val="18"/>
              </w:rPr>
            </w:pPr>
            <w:r>
              <w:rPr>
                <w:rFonts w:cstheme="minorHAnsi"/>
                <w:sz w:val="18"/>
                <w:szCs w:val="18"/>
              </w:rPr>
              <w:t xml:space="preserve">Stalne </w:t>
            </w:r>
            <w:r w:rsidRPr="00F87286">
              <w:rPr>
                <w:rFonts w:cstheme="minorHAnsi"/>
                <w:sz w:val="18"/>
                <w:szCs w:val="18"/>
              </w:rPr>
              <w:t xml:space="preserve">konzultacije s  </w:t>
            </w:r>
            <w:r>
              <w:rPr>
                <w:rFonts w:cstheme="minorHAnsi"/>
                <w:sz w:val="18"/>
                <w:szCs w:val="18"/>
              </w:rPr>
              <w:t>Naručiteljem</w:t>
            </w:r>
            <w:r w:rsidRPr="00F87286">
              <w:rPr>
                <w:rFonts w:cstheme="minorHAnsi"/>
                <w:sz w:val="18"/>
                <w:szCs w:val="18"/>
              </w:rPr>
              <w:t xml:space="preserve"> u svrhu</w:t>
            </w:r>
            <w:r>
              <w:rPr>
                <w:rFonts w:cstheme="minorHAnsi"/>
                <w:sz w:val="18"/>
                <w:szCs w:val="18"/>
              </w:rPr>
              <w:t xml:space="preserve"> </w:t>
            </w:r>
            <w:r w:rsidRPr="00F87286">
              <w:rPr>
                <w:rFonts w:cstheme="minorHAnsi"/>
                <w:sz w:val="18"/>
                <w:szCs w:val="18"/>
              </w:rPr>
              <w:t xml:space="preserve"> razumijevanja važnosti pridržavanja zadanih rokova za izr</w:t>
            </w:r>
            <w:r>
              <w:rPr>
                <w:rFonts w:cstheme="minorHAnsi"/>
                <w:sz w:val="18"/>
                <w:szCs w:val="18"/>
              </w:rPr>
              <w:t>adu daljnjih verzija Nacrta Strategije.</w:t>
            </w:r>
          </w:p>
        </w:tc>
      </w:tr>
      <w:tr w:rsidR="00020C4F" w:rsidRPr="002E6175" w14:paraId="261117B2" w14:textId="77777777" w:rsidTr="00736350">
        <w:tc>
          <w:tcPr>
            <w:tcW w:w="2827" w:type="dxa"/>
            <w:shd w:val="clear" w:color="auto" w:fill="FFFFFF" w:themeFill="background1"/>
            <w:hideMark/>
          </w:tcPr>
          <w:p w14:paraId="1FC42BFF" w14:textId="77777777" w:rsidR="00020C4F" w:rsidRPr="00F87286" w:rsidRDefault="00020C4F" w:rsidP="00736350">
            <w:pPr>
              <w:spacing w:line="276" w:lineRule="auto"/>
              <w:rPr>
                <w:rFonts w:cstheme="minorHAnsi"/>
                <w:sz w:val="18"/>
                <w:szCs w:val="18"/>
              </w:rPr>
            </w:pPr>
            <w:r w:rsidRPr="00F87286">
              <w:rPr>
                <w:rFonts w:cstheme="minorHAnsi"/>
                <w:sz w:val="18"/>
                <w:szCs w:val="18"/>
              </w:rPr>
              <w:t>Problemi sa pribavljanjem</w:t>
            </w:r>
            <w:r>
              <w:rPr>
                <w:rFonts w:cstheme="minorHAnsi"/>
                <w:sz w:val="18"/>
                <w:szCs w:val="18"/>
              </w:rPr>
              <w:t xml:space="preserve"> </w:t>
            </w:r>
            <w:r w:rsidRPr="00F87286">
              <w:rPr>
                <w:rFonts w:cstheme="minorHAnsi"/>
                <w:sz w:val="18"/>
                <w:szCs w:val="18"/>
              </w:rPr>
              <w:t>relevantnih dokumenata i podataka</w:t>
            </w:r>
          </w:p>
        </w:tc>
        <w:tc>
          <w:tcPr>
            <w:tcW w:w="1351" w:type="dxa"/>
            <w:hideMark/>
          </w:tcPr>
          <w:p w14:paraId="43D89759"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 xml:space="preserve">Niska </w:t>
            </w:r>
          </w:p>
        </w:tc>
        <w:tc>
          <w:tcPr>
            <w:tcW w:w="1062" w:type="dxa"/>
            <w:hideMark/>
          </w:tcPr>
          <w:p w14:paraId="673316A2"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Jak</w:t>
            </w:r>
          </w:p>
        </w:tc>
        <w:tc>
          <w:tcPr>
            <w:tcW w:w="4156" w:type="dxa"/>
            <w:hideMark/>
          </w:tcPr>
          <w:p w14:paraId="2DF834DF" w14:textId="77777777" w:rsidR="00020C4F" w:rsidRPr="00F87286" w:rsidRDefault="00020C4F" w:rsidP="00736350">
            <w:pPr>
              <w:spacing w:line="276" w:lineRule="auto"/>
              <w:rPr>
                <w:rFonts w:cstheme="minorHAnsi"/>
                <w:sz w:val="18"/>
                <w:szCs w:val="18"/>
              </w:rPr>
            </w:pPr>
            <w:r w:rsidRPr="00F87286">
              <w:rPr>
                <w:rFonts w:cstheme="minorHAnsi"/>
                <w:sz w:val="18"/>
                <w:szCs w:val="18"/>
              </w:rPr>
              <w:t xml:space="preserve">Rano identificiranje ključnih dokumenata od strane tima za vrednovanje te stalna komunikacija i konzultacije s </w:t>
            </w:r>
            <w:r>
              <w:rPr>
                <w:rFonts w:cstheme="minorHAnsi"/>
                <w:sz w:val="18"/>
                <w:szCs w:val="18"/>
              </w:rPr>
              <w:t>N</w:t>
            </w:r>
            <w:r w:rsidRPr="00F87286">
              <w:rPr>
                <w:rFonts w:cstheme="minorHAnsi"/>
                <w:sz w:val="18"/>
                <w:szCs w:val="18"/>
              </w:rPr>
              <w:t>aručiteljem u početnoj fazi</w:t>
            </w:r>
            <w:r>
              <w:rPr>
                <w:rFonts w:cstheme="minorHAnsi"/>
                <w:sz w:val="18"/>
                <w:szCs w:val="18"/>
              </w:rPr>
              <w:t xml:space="preserve"> </w:t>
            </w:r>
            <w:r w:rsidRPr="00F87286">
              <w:rPr>
                <w:rFonts w:cstheme="minorHAnsi"/>
                <w:sz w:val="18"/>
                <w:szCs w:val="18"/>
              </w:rPr>
              <w:t>realizacije postupka vrednovanja.</w:t>
            </w:r>
          </w:p>
        </w:tc>
      </w:tr>
      <w:tr w:rsidR="00020C4F" w:rsidRPr="002E6175" w14:paraId="6880D7FD" w14:textId="77777777" w:rsidTr="00736350">
        <w:tc>
          <w:tcPr>
            <w:tcW w:w="2827" w:type="dxa"/>
            <w:shd w:val="clear" w:color="auto" w:fill="FFFFFF" w:themeFill="background1"/>
            <w:hideMark/>
          </w:tcPr>
          <w:p w14:paraId="78C6C27B" w14:textId="77777777" w:rsidR="00020C4F" w:rsidRPr="00F87286" w:rsidRDefault="00020C4F" w:rsidP="00736350">
            <w:pPr>
              <w:spacing w:line="276" w:lineRule="auto"/>
              <w:rPr>
                <w:rFonts w:cstheme="minorHAnsi"/>
                <w:sz w:val="18"/>
                <w:szCs w:val="18"/>
              </w:rPr>
            </w:pPr>
            <w:r w:rsidRPr="00F87286">
              <w:rPr>
                <w:rFonts w:cstheme="minorHAnsi"/>
                <w:sz w:val="18"/>
                <w:szCs w:val="18"/>
              </w:rPr>
              <w:t>Ograničen broj sudionika u planiranim razgovo</w:t>
            </w:r>
            <w:r>
              <w:rPr>
                <w:rFonts w:cstheme="minorHAnsi"/>
                <w:sz w:val="18"/>
                <w:szCs w:val="18"/>
              </w:rPr>
              <w:t>rima; neadekvatna suradnja sa N</w:t>
            </w:r>
            <w:r w:rsidRPr="00F87286">
              <w:rPr>
                <w:rFonts w:cstheme="minorHAnsi"/>
                <w:sz w:val="18"/>
                <w:szCs w:val="18"/>
              </w:rPr>
              <w:t>aručiteljem</w:t>
            </w:r>
            <w:r>
              <w:rPr>
                <w:rFonts w:cstheme="minorHAnsi"/>
                <w:sz w:val="18"/>
                <w:szCs w:val="18"/>
              </w:rPr>
              <w:t>, ujedno i izrađivačem Strategije</w:t>
            </w:r>
          </w:p>
        </w:tc>
        <w:tc>
          <w:tcPr>
            <w:tcW w:w="1351" w:type="dxa"/>
            <w:shd w:val="clear" w:color="auto" w:fill="FFFFFF" w:themeFill="background1"/>
          </w:tcPr>
          <w:p w14:paraId="7C1FD913"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Niska</w:t>
            </w:r>
          </w:p>
          <w:p w14:paraId="6CD7996C" w14:textId="77777777" w:rsidR="00020C4F" w:rsidRPr="00F87286" w:rsidRDefault="00020C4F" w:rsidP="00736350">
            <w:pPr>
              <w:spacing w:line="276" w:lineRule="auto"/>
              <w:jc w:val="center"/>
              <w:rPr>
                <w:rFonts w:cstheme="minorHAnsi"/>
                <w:sz w:val="18"/>
                <w:szCs w:val="18"/>
              </w:rPr>
            </w:pPr>
          </w:p>
        </w:tc>
        <w:tc>
          <w:tcPr>
            <w:tcW w:w="1062" w:type="dxa"/>
            <w:shd w:val="clear" w:color="auto" w:fill="FFFFFF" w:themeFill="background1"/>
          </w:tcPr>
          <w:p w14:paraId="2625B740" w14:textId="77777777" w:rsidR="00020C4F" w:rsidRPr="00F87286" w:rsidRDefault="00020C4F" w:rsidP="00736350">
            <w:pPr>
              <w:spacing w:line="276" w:lineRule="auto"/>
              <w:jc w:val="center"/>
              <w:rPr>
                <w:rFonts w:cstheme="minorHAnsi"/>
                <w:sz w:val="18"/>
                <w:szCs w:val="18"/>
              </w:rPr>
            </w:pPr>
            <w:r w:rsidRPr="00F87286">
              <w:rPr>
                <w:rFonts w:cstheme="minorHAnsi"/>
                <w:sz w:val="18"/>
                <w:szCs w:val="18"/>
              </w:rPr>
              <w:t>Umjeren</w:t>
            </w:r>
          </w:p>
          <w:p w14:paraId="0FF3E533" w14:textId="77777777" w:rsidR="00020C4F" w:rsidRPr="00F87286" w:rsidRDefault="00020C4F" w:rsidP="00736350">
            <w:pPr>
              <w:spacing w:line="276" w:lineRule="auto"/>
              <w:jc w:val="center"/>
              <w:rPr>
                <w:rFonts w:cstheme="minorHAnsi"/>
                <w:sz w:val="18"/>
                <w:szCs w:val="18"/>
              </w:rPr>
            </w:pPr>
          </w:p>
        </w:tc>
        <w:tc>
          <w:tcPr>
            <w:tcW w:w="4156" w:type="dxa"/>
            <w:shd w:val="clear" w:color="auto" w:fill="FFFFFF" w:themeFill="background1"/>
            <w:hideMark/>
          </w:tcPr>
          <w:p w14:paraId="1AAC8BEE" w14:textId="77777777" w:rsidR="00020C4F" w:rsidRPr="00F87286" w:rsidRDefault="00020C4F" w:rsidP="00736350">
            <w:pPr>
              <w:spacing w:line="276" w:lineRule="auto"/>
              <w:rPr>
                <w:rFonts w:cstheme="minorHAnsi"/>
                <w:sz w:val="18"/>
                <w:szCs w:val="18"/>
              </w:rPr>
            </w:pPr>
            <w:r w:rsidRPr="00F87286">
              <w:rPr>
                <w:rFonts w:cstheme="minorHAnsi"/>
                <w:sz w:val="18"/>
                <w:szCs w:val="18"/>
              </w:rPr>
              <w:t>Dobro vremensko planiranje, stalna komunikacija i konz</w:t>
            </w:r>
            <w:r>
              <w:rPr>
                <w:rFonts w:cstheme="minorHAnsi"/>
                <w:sz w:val="18"/>
                <w:szCs w:val="18"/>
              </w:rPr>
              <w:t xml:space="preserve">ultacije s Naručiteljem, </w:t>
            </w:r>
            <w:r w:rsidRPr="00F87286">
              <w:rPr>
                <w:rFonts w:cstheme="minorHAnsi"/>
                <w:sz w:val="18"/>
                <w:szCs w:val="18"/>
              </w:rPr>
              <w:t xml:space="preserve">dobra suradnja i </w:t>
            </w:r>
            <w:r>
              <w:rPr>
                <w:rFonts w:cstheme="minorHAnsi"/>
                <w:sz w:val="18"/>
                <w:szCs w:val="18"/>
              </w:rPr>
              <w:t>postignuta razina povjerenja</w:t>
            </w:r>
            <w:r w:rsidRPr="00F87286">
              <w:rPr>
                <w:rFonts w:cstheme="minorHAnsi"/>
                <w:sz w:val="18"/>
                <w:szCs w:val="18"/>
              </w:rPr>
              <w:t xml:space="preserve"> od strane svih uključenih</w:t>
            </w:r>
            <w:r>
              <w:rPr>
                <w:rFonts w:cstheme="minorHAnsi"/>
                <w:sz w:val="18"/>
                <w:szCs w:val="18"/>
              </w:rPr>
              <w:t>.</w:t>
            </w:r>
          </w:p>
        </w:tc>
      </w:tr>
    </w:tbl>
    <w:p w14:paraId="31EAFD65" w14:textId="77777777" w:rsidR="00020C4F" w:rsidRDefault="00020C4F" w:rsidP="00020C4F">
      <w:pPr>
        <w:spacing w:after="0" w:line="276" w:lineRule="auto"/>
        <w:rPr>
          <w:rFonts w:cstheme="minorHAnsi"/>
        </w:rPr>
      </w:pPr>
    </w:p>
    <w:p w14:paraId="1F07E888" w14:textId="77777777" w:rsidR="00020C4F" w:rsidRPr="00B36F48" w:rsidRDefault="00020C4F" w:rsidP="00020C4F">
      <w:pPr>
        <w:spacing w:after="0" w:line="276" w:lineRule="auto"/>
        <w:rPr>
          <w:rFonts w:cstheme="minorHAnsi"/>
        </w:rPr>
      </w:pPr>
    </w:p>
    <w:p w14:paraId="0D705EE9" w14:textId="77777777" w:rsidR="00020C4F" w:rsidRDefault="00020C4F" w:rsidP="00020C4F">
      <w:pPr>
        <w:spacing w:after="0" w:line="276" w:lineRule="auto"/>
        <w:jc w:val="both"/>
        <w:rPr>
          <w:rFonts w:cstheme="minorHAnsi"/>
        </w:rPr>
      </w:pPr>
      <w:r>
        <w:rPr>
          <w:rFonts w:cstheme="minorHAnsi"/>
        </w:rPr>
        <w:t xml:space="preserve">U cjelini gledajući, ključni faktori koji  su pospješili uspješnu primjenu predviđene metodologije te smanjili moguća ograničenja tijekom realizacije postupka prethodnog vrednovanja  bili su sljedeći: </w:t>
      </w:r>
    </w:p>
    <w:p w14:paraId="2AF5B849" w14:textId="77777777" w:rsidR="00020C4F" w:rsidRPr="00215919" w:rsidRDefault="00020C4F" w:rsidP="00020C4F">
      <w:pPr>
        <w:spacing w:after="0" w:line="276" w:lineRule="auto"/>
        <w:jc w:val="both"/>
        <w:rPr>
          <w:rFonts w:cstheme="minorHAnsi"/>
        </w:rPr>
      </w:pPr>
    </w:p>
    <w:p w14:paraId="2FAB7F5E" w14:textId="77777777" w:rsidR="00020C4F" w:rsidRPr="00215919" w:rsidRDefault="00020C4F" w:rsidP="009D0757">
      <w:pPr>
        <w:pStyle w:val="Odlomakpopisa"/>
        <w:numPr>
          <w:ilvl w:val="0"/>
          <w:numId w:val="6"/>
        </w:numPr>
        <w:spacing w:after="0" w:line="276" w:lineRule="auto"/>
        <w:ind w:left="360"/>
        <w:jc w:val="both"/>
        <w:rPr>
          <w:rFonts w:cstheme="minorHAnsi"/>
        </w:rPr>
      </w:pPr>
      <w:r w:rsidRPr="00215919">
        <w:rPr>
          <w:rFonts w:cstheme="minorHAnsi"/>
        </w:rPr>
        <w:t xml:space="preserve">Kontakt podaci svih predviđenih dionika </w:t>
      </w:r>
      <w:r>
        <w:rPr>
          <w:rFonts w:cstheme="minorHAnsi"/>
        </w:rPr>
        <w:t xml:space="preserve">bili </w:t>
      </w:r>
      <w:r w:rsidRPr="00215919">
        <w:rPr>
          <w:rFonts w:cstheme="minorHAnsi"/>
        </w:rPr>
        <w:t>su dostupni stručnjacima za vrednovanje</w:t>
      </w:r>
      <w:r>
        <w:rPr>
          <w:rFonts w:cstheme="minorHAnsi"/>
        </w:rPr>
        <w:t>, čime je  omogućena izravna i dinamična komunikacija tijekom realizacije cijelog postupka vrednovanja</w:t>
      </w:r>
      <w:r w:rsidRPr="00215919">
        <w:rPr>
          <w:rFonts w:cstheme="minorHAnsi"/>
        </w:rPr>
        <w:t>;</w:t>
      </w:r>
    </w:p>
    <w:p w14:paraId="6142117D" w14:textId="77777777" w:rsidR="00020C4F" w:rsidRPr="00F50531" w:rsidRDefault="00020C4F" w:rsidP="009D0757">
      <w:pPr>
        <w:pStyle w:val="Odlomakpopisa"/>
        <w:numPr>
          <w:ilvl w:val="0"/>
          <w:numId w:val="6"/>
        </w:numPr>
        <w:spacing w:after="0" w:line="276" w:lineRule="auto"/>
        <w:ind w:left="360"/>
        <w:jc w:val="both"/>
        <w:rPr>
          <w:rFonts w:cstheme="minorHAnsi"/>
        </w:rPr>
      </w:pPr>
      <w:r>
        <w:rPr>
          <w:rFonts w:cstheme="minorHAnsi"/>
        </w:rPr>
        <w:t>Naručitelj je razumio svrhu, značaj i doprinos vrednovanja;</w:t>
      </w:r>
    </w:p>
    <w:p w14:paraId="3EA5C82B" w14:textId="77777777" w:rsidR="00020C4F" w:rsidRDefault="00020C4F" w:rsidP="009D0757">
      <w:pPr>
        <w:pStyle w:val="Odlomakpopisa"/>
        <w:numPr>
          <w:ilvl w:val="0"/>
          <w:numId w:val="6"/>
        </w:numPr>
        <w:tabs>
          <w:tab w:val="left" w:pos="357"/>
          <w:tab w:val="right" w:leader="dot" w:pos="9072"/>
        </w:tabs>
        <w:spacing w:after="0" w:line="276" w:lineRule="auto"/>
        <w:ind w:left="360"/>
        <w:jc w:val="both"/>
        <w:rPr>
          <w:rFonts w:cstheme="minorHAnsi"/>
        </w:rPr>
      </w:pPr>
      <w:r w:rsidRPr="000F2DDF">
        <w:rPr>
          <w:rFonts w:cstheme="minorHAnsi"/>
        </w:rPr>
        <w:t>Sve potrebne informacije i dokumenti</w:t>
      </w:r>
      <w:r>
        <w:rPr>
          <w:rFonts w:cstheme="minorHAnsi"/>
        </w:rPr>
        <w:t xml:space="preserve"> </w:t>
      </w:r>
      <w:r w:rsidRPr="000F2DDF">
        <w:rPr>
          <w:rFonts w:cstheme="minorHAnsi"/>
        </w:rPr>
        <w:t xml:space="preserve">su </w:t>
      </w:r>
      <w:r>
        <w:rPr>
          <w:rFonts w:cstheme="minorHAnsi"/>
        </w:rPr>
        <w:t xml:space="preserve">bili </w:t>
      </w:r>
      <w:r w:rsidRPr="000F2DDF">
        <w:rPr>
          <w:rFonts w:cstheme="minorHAnsi"/>
        </w:rPr>
        <w:t>dostupni timu za vrednovanje</w:t>
      </w:r>
      <w:r>
        <w:rPr>
          <w:rFonts w:cstheme="minorHAnsi"/>
        </w:rPr>
        <w:t>;</w:t>
      </w:r>
    </w:p>
    <w:p w14:paraId="78FCF8B4" w14:textId="77777777" w:rsidR="00020C4F" w:rsidRPr="00763DBB" w:rsidRDefault="00020C4F" w:rsidP="009D0757">
      <w:pPr>
        <w:pStyle w:val="Odlomakpopisa"/>
        <w:numPr>
          <w:ilvl w:val="0"/>
          <w:numId w:val="6"/>
        </w:numPr>
        <w:tabs>
          <w:tab w:val="left" w:pos="357"/>
          <w:tab w:val="right" w:leader="dot" w:pos="9072"/>
        </w:tabs>
        <w:spacing w:after="0" w:line="276" w:lineRule="auto"/>
        <w:ind w:left="360"/>
        <w:jc w:val="both"/>
        <w:rPr>
          <w:rFonts w:cstheme="minorHAnsi"/>
        </w:rPr>
      </w:pPr>
      <w:r>
        <w:rPr>
          <w:rFonts w:cstheme="minorHAnsi"/>
        </w:rPr>
        <w:t xml:space="preserve">Uspostavljena je bila odlična suradnja sa članom tima za </w:t>
      </w:r>
      <w:r w:rsidRPr="00763DBB">
        <w:rPr>
          <w:rFonts w:cstheme="minorHAnsi"/>
        </w:rPr>
        <w:t>vrednovanje iz Ministarstva poljoprivrede kao i timom koji je izrađivao Strategiju.</w:t>
      </w:r>
    </w:p>
    <w:p w14:paraId="1B6238D9" w14:textId="32E5BB71" w:rsidR="00EE3A5F" w:rsidRPr="004F7D61" w:rsidRDefault="00020C4F" w:rsidP="005617E7">
      <w:pPr>
        <w:pStyle w:val="Naslov1"/>
        <w:rPr>
          <w:b/>
        </w:rPr>
      </w:pPr>
      <w:r w:rsidRPr="00B6387C">
        <w:rPr>
          <w:rFonts w:cstheme="minorHAnsi"/>
          <w:color w:val="2F5496" w:themeColor="accent5" w:themeShade="BF"/>
        </w:rPr>
        <w:br w:type="column"/>
      </w:r>
      <w:r w:rsidR="00EE3A5F" w:rsidRPr="004F7D61">
        <w:rPr>
          <w:b/>
        </w:rPr>
        <w:lastRenderedPageBreak/>
        <w:t>PRILOG 4</w:t>
      </w:r>
    </w:p>
    <w:p w14:paraId="4796B7CB" w14:textId="77777777" w:rsidR="004F7D61" w:rsidRDefault="004F7D61" w:rsidP="004F7D61">
      <w:pPr>
        <w:pStyle w:val="Naslov2"/>
        <w:rPr>
          <w:rFonts w:eastAsia="Times New Roman"/>
          <w:b/>
        </w:rPr>
      </w:pPr>
    </w:p>
    <w:p w14:paraId="222B92EF" w14:textId="3D21751D" w:rsidR="00EE3A5F" w:rsidRPr="004F7D61" w:rsidRDefault="00EE3A5F" w:rsidP="004F7D61">
      <w:pPr>
        <w:pStyle w:val="Naslov2"/>
        <w:rPr>
          <w:rFonts w:eastAsia="Times New Roman"/>
          <w:b/>
        </w:rPr>
      </w:pPr>
      <w:r w:rsidRPr="004F7D61">
        <w:rPr>
          <w:rFonts w:eastAsia="Times New Roman"/>
          <w:b/>
        </w:rPr>
        <w:t>POPIS IZVORA PODATAKA, DOKUMENATA, UPITNIKA ILI DRUGIH INSTRUMENATA KORIŠTENIH TIJEKOM PROVEDBE POSTUPKA VREDNOVANJA</w:t>
      </w:r>
    </w:p>
    <w:p w14:paraId="6C6FAACC" w14:textId="77777777" w:rsidR="004F7D61" w:rsidRDefault="004F7D61" w:rsidP="00EE3A5F">
      <w:pPr>
        <w:spacing w:after="200" w:line="276" w:lineRule="auto"/>
        <w:jc w:val="both"/>
        <w:textAlignment w:val="baseline"/>
        <w:rPr>
          <w:rFonts w:eastAsia="Times New Roman" w:cstheme="minorHAnsi"/>
        </w:rPr>
      </w:pPr>
    </w:p>
    <w:p w14:paraId="7CB093D7" w14:textId="7C15D3EA" w:rsidR="00EE3A5F" w:rsidRPr="00905E03" w:rsidRDefault="00EE3A5F" w:rsidP="00EE3A5F">
      <w:pPr>
        <w:spacing w:after="200" w:line="276" w:lineRule="auto"/>
        <w:jc w:val="both"/>
        <w:textAlignment w:val="baseline"/>
        <w:rPr>
          <w:rFonts w:eastAsia="Times New Roman" w:cstheme="minorHAnsi"/>
        </w:rPr>
      </w:pPr>
      <w:r w:rsidRPr="00905E03">
        <w:rPr>
          <w:rFonts w:eastAsia="Times New Roman" w:cstheme="minorHAnsi"/>
        </w:rPr>
        <w:t>Tijekom realizacije postupka vrednovanja korišteni su prvenstveno slijedeći izvori podataka, strateški i drugi dokumenti:</w:t>
      </w:r>
    </w:p>
    <w:p w14:paraId="1D24A814" w14:textId="77777777" w:rsidR="00EE3A5F" w:rsidRPr="00905E03" w:rsidRDefault="00EE3A5F" w:rsidP="00EE3A5F">
      <w:pPr>
        <w:pStyle w:val="Tijeloteksta"/>
        <w:jc w:val="both"/>
        <w:rPr>
          <w:rFonts w:asciiTheme="minorHAnsi" w:hAnsiTheme="minorHAnsi" w:cstheme="minorHAnsi"/>
          <w:b/>
          <w:bCs/>
          <w:sz w:val="22"/>
          <w:szCs w:val="22"/>
        </w:rPr>
      </w:pPr>
      <w:r w:rsidRPr="00905E03">
        <w:rPr>
          <w:rFonts w:asciiTheme="minorHAnsi" w:hAnsiTheme="minorHAnsi" w:cstheme="minorHAnsi"/>
          <w:bCs/>
          <w:sz w:val="22"/>
          <w:szCs w:val="22"/>
        </w:rPr>
        <w:t xml:space="preserve">EVALSED, the Resource for the Evaluation of Socio-Economic Development, EC, 2013. http://ec.europa.eu/regional_policy/sources/docgener/evaluation/guide/guide_evalsed.pdf </w:t>
      </w:r>
    </w:p>
    <w:p w14:paraId="2250BC3E" w14:textId="77777777" w:rsidR="00EE3A5F" w:rsidRPr="00905E03" w:rsidRDefault="00EE3A5F" w:rsidP="00EE3A5F">
      <w:pPr>
        <w:pStyle w:val="Tijeloteksta"/>
        <w:jc w:val="both"/>
        <w:rPr>
          <w:rFonts w:asciiTheme="minorHAnsi" w:hAnsiTheme="minorHAnsi" w:cstheme="minorHAnsi"/>
          <w:b/>
          <w:bCs/>
          <w:sz w:val="22"/>
          <w:szCs w:val="22"/>
        </w:rPr>
      </w:pPr>
      <w:r w:rsidRPr="00905E03">
        <w:rPr>
          <w:rFonts w:asciiTheme="minorHAnsi" w:hAnsiTheme="minorHAnsi" w:cstheme="minorHAnsi"/>
          <w:bCs/>
          <w:sz w:val="22"/>
          <w:szCs w:val="22"/>
        </w:rPr>
        <w:t xml:space="preserve">Guidance Document on Monitoring and Evaluation, The programming Period 2014-2020, Brussels 2014. </w:t>
      </w:r>
      <w:hyperlink r:id="rId9" w:history="1">
        <w:r w:rsidRPr="00905E03">
          <w:rPr>
            <w:rStyle w:val="Hiperveza"/>
            <w:rFonts w:asciiTheme="minorHAnsi" w:hAnsiTheme="minorHAnsi" w:cstheme="minorHAnsi"/>
            <w:bCs/>
            <w:sz w:val="22"/>
            <w:szCs w:val="22"/>
          </w:rPr>
          <w:t>http://ec.europa.eu/regional_policy/sources/docoffic/2014/working/wd_2014_en.pdf</w:t>
        </w:r>
      </w:hyperlink>
      <w:r w:rsidRPr="00905E03">
        <w:rPr>
          <w:rFonts w:asciiTheme="minorHAnsi" w:hAnsiTheme="minorHAnsi" w:cstheme="minorHAnsi"/>
          <w:bCs/>
          <w:sz w:val="22"/>
          <w:szCs w:val="22"/>
        </w:rPr>
        <w:t xml:space="preserve"> </w:t>
      </w:r>
    </w:p>
    <w:p w14:paraId="0857B7DF" w14:textId="77777777" w:rsidR="00EE3A5F" w:rsidRPr="00905E03" w:rsidRDefault="00EE3A5F" w:rsidP="00EE3A5F">
      <w:pPr>
        <w:spacing w:after="200" w:line="276" w:lineRule="auto"/>
        <w:jc w:val="both"/>
        <w:rPr>
          <w:rFonts w:cstheme="minorHAnsi"/>
        </w:rPr>
      </w:pPr>
      <w:r w:rsidRPr="00905E03">
        <w:rPr>
          <w:rFonts w:cstheme="minorHAnsi"/>
        </w:rPr>
        <w:t>Smith, R. D. (2007). Monitoring and Evaluating - from inputs to results, Seminar on Cohesion, Ministry of Foreign Affairs and European Integration, Zagreb, 15 str.</w:t>
      </w:r>
    </w:p>
    <w:p w14:paraId="2835955E" w14:textId="77777777" w:rsidR="00EE3A5F" w:rsidRPr="00905E03" w:rsidRDefault="00EE3A5F" w:rsidP="00EE3A5F">
      <w:pPr>
        <w:spacing w:after="200" w:line="276" w:lineRule="auto"/>
        <w:jc w:val="both"/>
        <w:rPr>
          <w:rFonts w:cstheme="minorHAnsi"/>
          <w:b/>
        </w:rPr>
      </w:pPr>
    </w:p>
    <w:p w14:paraId="2AB00932" w14:textId="77777777" w:rsidR="00EE3A5F" w:rsidRPr="00905E03" w:rsidRDefault="00EE3A5F" w:rsidP="00EE3A5F">
      <w:pPr>
        <w:spacing w:after="200" w:line="276" w:lineRule="auto"/>
        <w:jc w:val="both"/>
        <w:rPr>
          <w:rFonts w:cstheme="minorHAnsi"/>
          <w:b/>
        </w:rPr>
      </w:pPr>
      <w:r w:rsidRPr="00905E03">
        <w:rPr>
          <w:rFonts w:cstheme="minorHAnsi"/>
          <w:b/>
        </w:rPr>
        <w:t>Strategije, zakonski okvir i ostali izvori:</w:t>
      </w:r>
    </w:p>
    <w:p w14:paraId="75B079DF" w14:textId="77777777" w:rsidR="00EE3A5F" w:rsidRPr="002E41B9" w:rsidRDefault="00EE3A5F" w:rsidP="00EE3A5F">
      <w:pPr>
        <w:spacing w:after="200" w:line="276" w:lineRule="auto"/>
        <w:jc w:val="both"/>
        <w:rPr>
          <w:color w:val="0000FF"/>
          <w:u w:val="single"/>
        </w:rPr>
      </w:pPr>
      <w:r w:rsidRPr="00905E03">
        <w:t xml:space="preserve">European Pillar of Social Rights: building a fairer and more inclusive European Union </w:t>
      </w:r>
      <w:hyperlink r:id="rId10" w:history="1">
        <w:r w:rsidRPr="00905E03">
          <w:rPr>
            <w:rStyle w:val="Hiperveza"/>
          </w:rPr>
          <w:t>https://ec.europa.eu/info/strategy/priorities-2019-2024/economy-works-people/jobs-growth-and-investment/european-pillar-social-rights_en</w:t>
        </w:r>
      </w:hyperlink>
    </w:p>
    <w:p w14:paraId="0E404CF6" w14:textId="77777777" w:rsidR="00EE3A5F" w:rsidRPr="00905E03" w:rsidRDefault="00EE3A5F" w:rsidP="00EE3A5F">
      <w:pPr>
        <w:pStyle w:val="Tijeloteksta"/>
        <w:jc w:val="both"/>
        <w:rPr>
          <w:rFonts w:asciiTheme="minorHAnsi" w:hAnsiTheme="minorHAnsi" w:cstheme="minorHAnsi"/>
          <w:b/>
          <w:bCs/>
          <w:sz w:val="22"/>
          <w:szCs w:val="22"/>
        </w:rPr>
      </w:pPr>
      <w:r w:rsidRPr="00905E03">
        <w:rPr>
          <w:rFonts w:asciiTheme="minorHAnsi" w:hAnsiTheme="minorHAnsi" w:cstheme="minorHAnsi"/>
          <w:bCs/>
          <w:sz w:val="22"/>
          <w:szCs w:val="22"/>
        </w:rPr>
        <w:t>European Commission, Secretariat-General: „Public consultation on Commission Guidelines for Evaluation“, Brussels, 2013. http://ec.europa.eu/dgs/secretariat_general/evaluation/docs/20131111_guidelines_pc_part_i_ii_clean.pdf</w:t>
      </w:r>
    </w:p>
    <w:p w14:paraId="53D5310A" w14:textId="77777777" w:rsidR="00EE3A5F" w:rsidRPr="00905E03" w:rsidRDefault="00EE3A5F" w:rsidP="00EE3A5F">
      <w:pPr>
        <w:pStyle w:val="Tijeloteksta"/>
        <w:jc w:val="both"/>
        <w:rPr>
          <w:rFonts w:asciiTheme="minorHAnsi" w:hAnsiTheme="minorHAnsi" w:cstheme="minorHAnsi"/>
          <w:b/>
          <w:bCs/>
          <w:sz w:val="22"/>
          <w:szCs w:val="22"/>
        </w:rPr>
      </w:pPr>
      <w:r w:rsidRPr="00905E03">
        <w:rPr>
          <w:rFonts w:asciiTheme="minorHAnsi" w:hAnsiTheme="minorHAnsi" w:cstheme="minorHAnsi"/>
          <w:bCs/>
          <w:sz w:val="22"/>
          <w:szCs w:val="22"/>
        </w:rPr>
        <w:t>Chapter 2 Issues in Ex-ante and Ex-post Evaluations – JICA. www.jica.go.jp/.../evaluation/.../guideline03-02.pdf, http://www.jica.go.jp/english/our_work/evaluation/tech_and_grant/guides/pdf/guideline03-02.pdf</w:t>
      </w:r>
    </w:p>
    <w:p w14:paraId="34C724E6" w14:textId="77777777" w:rsidR="00EE3A5F" w:rsidRPr="00905E03" w:rsidRDefault="00EE3A5F" w:rsidP="00EE3A5F">
      <w:pPr>
        <w:pStyle w:val="Bibliografija"/>
        <w:spacing w:after="200" w:line="276" w:lineRule="auto"/>
        <w:jc w:val="both"/>
        <w:rPr>
          <w:rFonts w:cstheme="minorHAnsi"/>
          <w:noProof/>
        </w:rPr>
      </w:pPr>
      <w:r w:rsidRPr="00905E03">
        <w:rPr>
          <w:rFonts w:cstheme="minorHAnsi"/>
          <w:noProof/>
        </w:rPr>
        <w:t xml:space="preserve">Ministarstvo regionalnog razvoja i fondova Europske Unije. (2020). </w:t>
      </w:r>
      <w:r w:rsidRPr="00905E03">
        <w:rPr>
          <w:rFonts w:cstheme="minorHAnsi"/>
          <w:i/>
          <w:iCs/>
          <w:noProof/>
        </w:rPr>
        <w:t xml:space="preserve">Priručnik o strateškom planiranju,. </w:t>
      </w:r>
      <w:r w:rsidRPr="00905E03">
        <w:rPr>
          <w:rFonts w:cstheme="minorHAnsi"/>
          <w:noProof/>
        </w:rPr>
        <w:t>Zagreb: MRRFEU.</w:t>
      </w:r>
      <w:r w:rsidRPr="00905E03">
        <w:t xml:space="preserve"> </w:t>
      </w:r>
      <w:hyperlink r:id="rId11" w:history="1">
        <w:r w:rsidRPr="00905E03">
          <w:rPr>
            <w:rStyle w:val="Hiperveza"/>
            <w:rFonts w:cstheme="minorHAnsi"/>
          </w:rPr>
          <w:t>https://www.istra-europa.eu/wp-content/uploads/2021/03/Priruc%CC%8Cnik-o-strates%CC%8Ckom-planiranju.pdf</w:t>
        </w:r>
      </w:hyperlink>
      <w:r w:rsidRPr="00905E03">
        <w:rPr>
          <w:rStyle w:val="Hiperveza"/>
          <w:rFonts w:cstheme="minorHAnsi"/>
        </w:rPr>
        <w:t xml:space="preserve"> </w:t>
      </w:r>
    </w:p>
    <w:p w14:paraId="56DF6458" w14:textId="34090BA2" w:rsidR="00EE3A5F" w:rsidRPr="00905E03" w:rsidRDefault="00EE3A5F" w:rsidP="00EE3A5F">
      <w:pPr>
        <w:spacing w:after="200" w:line="276" w:lineRule="auto"/>
        <w:jc w:val="both"/>
        <w:rPr>
          <w:rFonts w:cstheme="minorHAnsi"/>
        </w:rPr>
      </w:pPr>
      <w:r w:rsidRPr="00905E03">
        <w:rPr>
          <w:rFonts w:cstheme="minorHAnsi"/>
        </w:rPr>
        <w:t>Nacionalna razvojna strategija Republike Hrvatske do 2030. godine. (2021). (</w:t>
      </w:r>
      <w:r w:rsidRPr="00905E03">
        <w:t>NN 13/21</w:t>
      </w:r>
      <w:r w:rsidRPr="00905E03">
        <w:rPr>
          <w:rFonts w:cstheme="minorHAnsi"/>
        </w:rPr>
        <w:t xml:space="preserve"> ) </w:t>
      </w:r>
      <w:hyperlink r:id="rId12" w:history="1">
        <w:r w:rsidRPr="00905E03">
          <w:rPr>
            <w:rStyle w:val="Hiperveza"/>
            <w:rFonts w:cstheme="minorHAnsi"/>
          </w:rPr>
          <w:t>https://narodne-novine.nn.hr/clanci/sluzbeni/2021_02_13_230.html</w:t>
        </w:r>
      </w:hyperlink>
      <w:r w:rsidRPr="00905E03">
        <w:rPr>
          <w:rFonts w:cstheme="minorHAnsi"/>
        </w:rPr>
        <w:t xml:space="preserve"> </w:t>
      </w:r>
    </w:p>
    <w:p w14:paraId="5319672C" w14:textId="77777777" w:rsidR="00EE3A5F" w:rsidRPr="00905E03" w:rsidRDefault="00EE3A5F" w:rsidP="00EE3A5F">
      <w:pPr>
        <w:pStyle w:val="Tijeloteksta"/>
        <w:jc w:val="both"/>
        <w:rPr>
          <w:rFonts w:asciiTheme="minorHAnsi" w:hAnsiTheme="minorHAnsi" w:cstheme="minorHAnsi"/>
          <w:b/>
          <w:bCs/>
          <w:sz w:val="22"/>
          <w:szCs w:val="22"/>
        </w:rPr>
      </w:pPr>
      <w:r w:rsidRPr="00905E03">
        <w:rPr>
          <w:rFonts w:asciiTheme="minorHAnsi" w:hAnsiTheme="minorHAnsi" w:cstheme="minorHAnsi"/>
          <w:bCs/>
          <w:sz w:val="22"/>
          <w:szCs w:val="22"/>
        </w:rPr>
        <w:t xml:space="preserve">Outcome indicators and targets. Methodological note produced for DG Regional Policy by the High Level Group led by F. Barca and P. McCann. http://ec.europa.eu/regional_policy/sources/docgener/evaluation/performance_en.htm </w:t>
      </w:r>
    </w:p>
    <w:p w14:paraId="1097EFB5" w14:textId="77777777" w:rsidR="00EE3A5F" w:rsidRPr="00905E03" w:rsidRDefault="00EE3A5F" w:rsidP="00EE3A5F">
      <w:pPr>
        <w:pStyle w:val="Tijeloteksta"/>
        <w:jc w:val="both"/>
        <w:rPr>
          <w:rStyle w:val="Hiperveza"/>
          <w:rFonts w:asciiTheme="minorHAnsi" w:hAnsiTheme="minorHAnsi" w:cstheme="minorHAnsi"/>
          <w:b/>
          <w:bCs/>
          <w:sz w:val="22"/>
          <w:szCs w:val="22"/>
        </w:rPr>
      </w:pPr>
      <w:r w:rsidRPr="00905E03">
        <w:rPr>
          <w:rFonts w:asciiTheme="minorHAnsi" w:hAnsiTheme="minorHAnsi" w:cstheme="minorHAnsi"/>
          <w:bCs/>
          <w:sz w:val="22"/>
          <w:szCs w:val="22"/>
        </w:rPr>
        <w:lastRenderedPageBreak/>
        <w:t xml:space="preserve">Policy evaluation in the EU, Linking ex ante and ex post evaluation. </w:t>
      </w:r>
      <w:hyperlink r:id="rId13" w:history="1">
        <w:r w:rsidRPr="00905E03">
          <w:rPr>
            <w:rStyle w:val="Hiperveza"/>
            <w:rFonts w:asciiTheme="minorHAnsi" w:hAnsiTheme="minorHAnsi" w:cstheme="minorHAnsi"/>
            <w:bCs/>
            <w:sz w:val="22"/>
            <w:szCs w:val="22"/>
          </w:rPr>
          <w:t>http://www.cf.ac.uk/celag/attachments%202014/Workshop%20Programme_Policy%20Evaluation_20%20June%202014.pdf</w:t>
        </w:r>
      </w:hyperlink>
    </w:p>
    <w:p w14:paraId="68D5F1FD" w14:textId="77777777" w:rsidR="00EE3A5F" w:rsidRPr="00905E03" w:rsidRDefault="00EE3A5F" w:rsidP="004F7D61">
      <w:pPr>
        <w:rPr>
          <w:rStyle w:val="Hiperveza"/>
          <w:rFonts w:ascii="Calibri" w:eastAsia="Calibri" w:hAnsi="Calibri" w:cs="Times New Roman"/>
          <w:sz w:val="20"/>
          <w:szCs w:val="20"/>
        </w:rPr>
      </w:pPr>
      <w:r w:rsidRPr="00287896">
        <w:t xml:space="preserve">Pravilnik o provedbi postupka vrednovanja akata strateškog planiranja od nacionalnog značaja i od značaja za jedinice lokalne i područne (regionalne) samouprave, NN 44/23 </w:t>
      </w:r>
      <w:hyperlink r:id="rId14" w:history="1">
        <w:r w:rsidRPr="00905E03">
          <w:rPr>
            <w:rStyle w:val="Hiperveza"/>
          </w:rPr>
          <w:t>https://narodne-novine.nn.hr/clanci/sluzbeni/2023_04_44_771.html</w:t>
        </w:r>
      </w:hyperlink>
    </w:p>
    <w:p w14:paraId="6950DB63" w14:textId="5A100670" w:rsidR="00AC7D3B" w:rsidRDefault="00AC7D3B" w:rsidP="00EE3A5F">
      <w:pPr>
        <w:spacing w:after="200" w:line="276" w:lineRule="auto"/>
        <w:jc w:val="both"/>
        <w:rPr>
          <w:rFonts w:cstheme="minorHAnsi"/>
        </w:rPr>
      </w:pPr>
      <w:r w:rsidRPr="00154905">
        <w:rPr>
          <w:rFonts w:eastAsia="Times New Roman" w:cstheme="minorHAnsi"/>
        </w:rPr>
        <w:t>Uredb</w:t>
      </w:r>
      <w:r>
        <w:rPr>
          <w:rFonts w:eastAsia="Times New Roman" w:cstheme="minorHAnsi"/>
        </w:rPr>
        <w:t>a</w:t>
      </w:r>
      <w:r w:rsidRPr="00154905">
        <w:rPr>
          <w:rFonts w:eastAsia="Times New Roman" w:cstheme="minorHAnsi"/>
        </w:rPr>
        <w:t xml:space="preserve"> o smjernicama za izradu akata strateškog planiranja (NN 37/23)</w:t>
      </w:r>
    </w:p>
    <w:p w14:paraId="185C7CF3" w14:textId="77777777" w:rsidR="00EE3A5F" w:rsidRPr="00287896" w:rsidRDefault="00EE3A5F" w:rsidP="00EE3A5F">
      <w:pPr>
        <w:spacing w:after="200" w:line="276" w:lineRule="auto"/>
        <w:jc w:val="both"/>
        <w:rPr>
          <w:rFonts w:cstheme="minorHAnsi"/>
        </w:rPr>
      </w:pPr>
      <w:r w:rsidRPr="00905E03">
        <w:rPr>
          <w:rFonts w:cs="Times New Roman"/>
          <w:iCs/>
        </w:rPr>
        <w:t>Vlada Republike Hrvatske (2021)</w:t>
      </w:r>
      <w:r w:rsidRPr="00905E03">
        <w:rPr>
          <w:rFonts w:cs="Times New Roman"/>
          <w:i/>
        </w:rPr>
        <w:t>. Nacionalni plan oporavka i otpornosti 2021. – 2026.</w:t>
      </w:r>
      <w:r w:rsidRPr="00905E03">
        <w:rPr>
          <w:rFonts w:cs="Times New Roman"/>
        </w:rPr>
        <w:t xml:space="preserve"> </w:t>
      </w:r>
      <w:hyperlink r:id="rId15" w:history="1">
        <w:r w:rsidRPr="00905E03">
          <w:rPr>
            <w:rStyle w:val="Hiperveza"/>
          </w:rPr>
          <w:t>https://planoporavka.gov.hr/UserDocsImages/dokumenti/Plan%20oporavka%20i%20otpornosti%2C%20srpanj%202021..pdf?vel=13435491</w:t>
        </w:r>
      </w:hyperlink>
    </w:p>
    <w:p w14:paraId="2F3234D8" w14:textId="3AC5B63D" w:rsidR="00EE3A5F" w:rsidRDefault="00EE3A5F" w:rsidP="00EE3A5F">
      <w:pPr>
        <w:spacing w:after="200" w:line="276" w:lineRule="auto"/>
        <w:jc w:val="both"/>
        <w:rPr>
          <w:rFonts w:cstheme="minorHAnsi"/>
        </w:rPr>
      </w:pPr>
      <w:r w:rsidRPr="00905E03">
        <w:rPr>
          <w:rFonts w:cstheme="minorHAnsi"/>
        </w:rPr>
        <w:t xml:space="preserve">Zakon o strateškom planiranju i upravljanju razvojem RH (NN 123/17) </w:t>
      </w:r>
    </w:p>
    <w:p w14:paraId="4DED1568" w14:textId="0B7335C3" w:rsidR="00AC7D3B" w:rsidRPr="00905E03" w:rsidRDefault="00AC7D3B" w:rsidP="00EE3A5F">
      <w:pPr>
        <w:spacing w:after="200" w:line="276" w:lineRule="auto"/>
        <w:jc w:val="both"/>
        <w:rPr>
          <w:rStyle w:val="Hiperveza"/>
          <w:rFonts w:cstheme="minorHAnsi"/>
          <w:b/>
        </w:rPr>
      </w:pPr>
      <w:r w:rsidRPr="00154905">
        <w:rPr>
          <w:rFonts w:eastAsia="Times New Roman" w:cstheme="minorHAnsi"/>
        </w:rPr>
        <w:t>Zakon o izmjenama i dopunama Zakona o sustavu strateškog planiranja (NN 151/22)</w:t>
      </w:r>
    </w:p>
    <w:p w14:paraId="5CB18EE0" w14:textId="77777777" w:rsidR="00EE3A5F" w:rsidRPr="00905E03" w:rsidRDefault="00EE3A5F" w:rsidP="00EE3A5F">
      <w:pPr>
        <w:spacing w:after="200" w:line="276" w:lineRule="auto"/>
        <w:jc w:val="both"/>
        <w:rPr>
          <w:rFonts w:asciiTheme="majorHAnsi" w:hAnsiTheme="majorHAnsi" w:cstheme="majorHAnsi"/>
        </w:rPr>
      </w:pPr>
      <w:r w:rsidRPr="00905E03">
        <w:rPr>
          <w:rFonts w:cs="Times New Roman"/>
        </w:rPr>
        <w:t xml:space="preserve">Pismene reakcije Ministarstva vezano za unos komentara tima za vrednovanje </w:t>
      </w:r>
    </w:p>
    <w:p w14:paraId="22C306D6" w14:textId="77777777" w:rsidR="00EE3A5F" w:rsidRPr="00FA3FDF" w:rsidRDefault="00EE3A5F" w:rsidP="00EE3A5F">
      <w:pPr>
        <w:spacing w:after="200" w:line="276" w:lineRule="auto"/>
        <w:jc w:val="both"/>
        <w:rPr>
          <w:rFonts w:eastAsia="Calibri" w:cstheme="minorHAnsi"/>
        </w:rPr>
      </w:pPr>
    </w:p>
    <w:p w14:paraId="2EEA02F4" w14:textId="77777777" w:rsidR="00EE3A5F" w:rsidRPr="00905E03" w:rsidRDefault="00EE3A5F" w:rsidP="00EE3A5F">
      <w:pPr>
        <w:tabs>
          <w:tab w:val="right" w:leader="dot" w:pos="9072"/>
        </w:tabs>
        <w:spacing w:after="200" w:line="276" w:lineRule="auto"/>
        <w:ind w:left="340"/>
        <w:rPr>
          <w:rFonts w:asciiTheme="majorHAnsi" w:hAnsiTheme="majorHAnsi" w:cstheme="majorHAnsi"/>
        </w:rPr>
      </w:pPr>
      <w:r w:rsidRPr="00905E03">
        <w:rPr>
          <w:rFonts w:cs="Times New Roman"/>
        </w:rPr>
        <w:t xml:space="preserve"> </w:t>
      </w:r>
    </w:p>
    <w:p w14:paraId="628021DB" w14:textId="77777777" w:rsidR="00EE3A5F" w:rsidRDefault="00EE3A5F" w:rsidP="00EE3A5F"/>
    <w:p w14:paraId="1271A177" w14:textId="77777777" w:rsidR="0042150B" w:rsidRPr="009973AC" w:rsidRDefault="0042150B" w:rsidP="00844412">
      <w:pPr>
        <w:spacing w:after="200" w:line="276" w:lineRule="auto"/>
        <w:jc w:val="both"/>
      </w:pPr>
    </w:p>
    <w:p w14:paraId="07B4F84F" w14:textId="5BDA6237" w:rsidR="008971E0" w:rsidRPr="00AC7D3B" w:rsidRDefault="00844412" w:rsidP="002E41B9">
      <w:pPr>
        <w:spacing w:after="200" w:line="276" w:lineRule="auto"/>
        <w:jc w:val="both"/>
        <w:rPr>
          <w:rFonts w:asciiTheme="majorHAnsi" w:hAnsiTheme="majorHAnsi" w:cstheme="majorHAnsi"/>
          <w:b/>
          <w:color w:val="2E74B5" w:themeColor="accent1" w:themeShade="BF"/>
          <w:sz w:val="28"/>
          <w:szCs w:val="28"/>
        </w:rPr>
      </w:pPr>
      <w:r w:rsidRPr="009973AC">
        <w:rPr>
          <w:rFonts w:asciiTheme="majorHAnsi" w:hAnsiTheme="majorHAnsi" w:cstheme="majorHAnsi"/>
          <w:b/>
          <w:color w:val="2E74B5" w:themeColor="accent1" w:themeShade="BF"/>
          <w:sz w:val="28"/>
          <w:szCs w:val="28"/>
        </w:rPr>
        <w:tab/>
      </w:r>
    </w:p>
    <w:sectPr w:rsidR="008971E0" w:rsidRPr="00AC7D3B" w:rsidSect="00C37578">
      <w:footerReference w:type="default" r:id="rId1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903CD" w14:textId="77777777" w:rsidR="00504D51" w:rsidRDefault="00504D51" w:rsidP="00BB56EB">
      <w:pPr>
        <w:spacing w:after="0" w:line="240" w:lineRule="auto"/>
      </w:pPr>
      <w:r>
        <w:separator/>
      </w:r>
    </w:p>
  </w:endnote>
  <w:endnote w:type="continuationSeparator" w:id="0">
    <w:p w14:paraId="05DF54F5" w14:textId="77777777" w:rsidR="00504D51" w:rsidRDefault="00504D51" w:rsidP="00BB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NFIAD+TimesNewRoman">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87780"/>
      <w:docPartObj>
        <w:docPartGallery w:val="Page Numbers (Bottom of Page)"/>
        <w:docPartUnique/>
      </w:docPartObj>
    </w:sdtPr>
    <w:sdtEndPr>
      <w:rPr>
        <w:noProof/>
      </w:rPr>
    </w:sdtEndPr>
    <w:sdtContent>
      <w:p w14:paraId="58C689A8" w14:textId="4BE4CEB5" w:rsidR="00E7654F" w:rsidRDefault="00E7654F">
        <w:pPr>
          <w:pStyle w:val="Podnoje"/>
        </w:pPr>
        <w:r>
          <w:fldChar w:fldCharType="begin"/>
        </w:r>
        <w:r>
          <w:instrText xml:space="preserve"> PAGE   \* MERGEFORMAT </w:instrText>
        </w:r>
        <w:r>
          <w:fldChar w:fldCharType="separate"/>
        </w:r>
        <w:r>
          <w:rPr>
            <w:noProof/>
          </w:rPr>
          <w:t>1</w:t>
        </w:r>
        <w:r>
          <w:rPr>
            <w:noProof/>
          </w:rPr>
          <w:fldChar w:fldCharType="end"/>
        </w:r>
      </w:p>
    </w:sdtContent>
  </w:sdt>
  <w:p w14:paraId="539BE3B2" w14:textId="77777777" w:rsidR="00E7654F" w:rsidRDefault="00E765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218D" w14:textId="77777777" w:rsidR="00504D51" w:rsidRDefault="00504D51" w:rsidP="00BB56EB">
      <w:pPr>
        <w:spacing w:after="0" w:line="240" w:lineRule="auto"/>
      </w:pPr>
      <w:r>
        <w:separator/>
      </w:r>
    </w:p>
  </w:footnote>
  <w:footnote w:type="continuationSeparator" w:id="0">
    <w:p w14:paraId="35A4DC88" w14:textId="77777777" w:rsidR="00504D51" w:rsidRDefault="00504D51" w:rsidP="00BB56EB">
      <w:pPr>
        <w:spacing w:after="0" w:line="240" w:lineRule="auto"/>
      </w:pPr>
      <w:r>
        <w:continuationSeparator/>
      </w:r>
    </w:p>
  </w:footnote>
  <w:footnote w:id="1">
    <w:p w14:paraId="38ED8EA6" w14:textId="33D3E68E" w:rsidR="00E7654F" w:rsidRPr="007144B7" w:rsidRDefault="00E7654F" w:rsidP="008C33E4">
      <w:pPr>
        <w:pStyle w:val="box466726"/>
        <w:spacing w:before="0" w:beforeAutospacing="0" w:after="0" w:afterAutospacing="0"/>
        <w:jc w:val="both"/>
        <w:rPr>
          <w:rFonts w:ascii="Cambria" w:hAnsi="Cambria"/>
          <w:sz w:val="20"/>
        </w:rPr>
      </w:pPr>
      <w:r w:rsidRPr="007144B7">
        <w:rPr>
          <w:rStyle w:val="Referencafusnote"/>
          <w:rFonts w:ascii="Cambria" w:hAnsi="Cambria"/>
          <w:sz w:val="20"/>
        </w:rPr>
        <w:footnoteRef/>
      </w:r>
      <w:r w:rsidRPr="007144B7">
        <w:rPr>
          <w:rFonts w:ascii="Cambria" w:hAnsi="Cambria"/>
          <w:sz w:val="20"/>
        </w:rPr>
        <w:t xml:space="preserve"> </w:t>
      </w:r>
      <w:r w:rsidRPr="00B87D94">
        <w:rPr>
          <w:rFonts w:asciiTheme="minorHAnsi" w:hAnsiTheme="minorHAnsi" w:cstheme="minorHAnsi"/>
          <w:sz w:val="20"/>
        </w:rPr>
        <w:t>Ispunjeno donošenjem Strategije poljoprivrede do 2030. („Narodne novine“ br. 26/22).</w:t>
      </w:r>
      <w:r>
        <w:rPr>
          <w:rFonts w:ascii="Cambria" w:hAnsi="Cambria"/>
          <w:sz w:val="20"/>
        </w:rPr>
        <w:t xml:space="preserve"> </w:t>
      </w:r>
    </w:p>
  </w:footnote>
  <w:footnote w:id="2">
    <w:p w14:paraId="1EB0B19D" w14:textId="6340B6B1" w:rsidR="00E7654F" w:rsidRPr="007F7E61" w:rsidRDefault="00E7654F" w:rsidP="00B33555">
      <w:pPr>
        <w:pStyle w:val="Tekstfusnote"/>
      </w:pPr>
      <w:r>
        <w:rPr>
          <w:rStyle w:val="Referencafusnote"/>
        </w:rPr>
        <w:footnoteRef/>
      </w:r>
      <w:r>
        <w:t xml:space="preserve"> </w:t>
      </w:r>
      <w:r w:rsidRPr="007F7E61">
        <w:t xml:space="preserve">Treba istaknuti da ova potreba ima dijelom svoju poveznicu i na treći SC: </w:t>
      </w:r>
      <w:r w:rsidRPr="007F7E61">
        <w:rPr>
          <w:rFonts w:eastAsia="Calibri" w:cs="Times New Roman"/>
          <w:i/>
        </w:rPr>
        <w:t xml:space="preserve">Povećanje dodane vrijednosti u hrvatskom biogospodarstvu, </w:t>
      </w:r>
      <w:r w:rsidRPr="007F7E61">
        <w:rPr>
          <w:rFonts w:eastAsia="Calibri" w:cs="Times New Roman"/>
        </w:rPr>
        <w:t>što je razumljivo s obzirom na značaj</w:t>
      </w:r>
      <w:r w:rsidRPr="007F7E61">
        <w:rPr>
          <w:rFonts w:eastAsia="Calibri" w:cs="Times New Roman"/>
          <w:i/>
        </w:rPr>
        <w:t xml:space="preserve"> istraživanja i inovacija za po</w:t>
      </w:r>
      <w:r>
        <w:rPr>
          <w:rFonts w:eastAsia="Calibri" w:cs="Times New Roman"/>
          <w:i/>
        </w:rPr>
        <w:t>već</w:t>
      </w:r>
      <w:r w:rsidRPr="007F7E61">
        <w:rPr>
          <w:rFonts w:eastAsia="Calibri" w:cs="Times New Roman"/>
          <w:i/>
        </w:rPr>
        <w:t>anje dodane vrijednosti u hrvatskom biogospodarstvu</w:t>
      </w:r>
    </w:p>
  </w:footnote>
  <w:footnote w:id="3">
    <w:p w14:paraId="7B9A852F" w14:textId="77777777" w:rsidR="00E7654F" w:rsidRDefault="00E7654F" w:rsidP="00B33555">
      <w:pPr>
        <w:spacing w:line="276" w:lineRule="auto"/>
        <w:jc w:val="both"/>
        <w:rPr>
          <w:rFonts w:eastAsia="Calibri" w:cs="Times New Roman"/>
        </w:rPr>
      </w:pPr>
      <w:r>
        <w:rPr>
          <w:rStyle w:val="Referencafusnote"/>
        </w:rPr>
        <w:footnoteRef/>
      </w:r>
      <w:r>
        <w:t xml:space="preserve"> </w:t>
      </w:r>
      <w:r w:rsidRPr="00DC1F99">
        <w:rPr>
          <w:sz w:val="20"/>
          <w:szCs w:val="20"/>
        </w:rPr>
        <w:t>Uz napomenu da Strategija</w:t>
      </w:r>
      <w:r>
        <w:rPr>
          <w:sz w:val="20"/>
          <w:szCs w:val="20"/>
        </w:rPr>
        <w:t xml:space="preserve"> do dana 28. siječnja 2023. još </w:t>
      </w:r>
      <w:r w:rsidRPr="00DC1F99">
        <w:rPr>
          <w:sz w:val="20"/>
          <w:szCs w:val="20"/>
        </w:rPr>
        <w:t xml:space="preserve"> nije </w:t>
      </w:r>
      <w:r>
        <w:rPr>
          <w:sz w:val="20"/>
          <w:szCs w:val="20"/>
        </w:rPr>
        <w:t xml:space="preserve">bila </w:t>
      </w:r>
      <w:r w:rsidRPr="00DC1F99">
        <w:rPr>
          <w:sz w:val="20"/>
          <w:szCs w:val="20"/>
        </w:rPr>
        <w:t>uvrštena na dnevni red Hrvatskog sabora.</w:t>
      </w:r>
    </w:p>
    <w:p w14:paraId="71F46245" w14:textId="77777777" w:rsidR="00E7654F" w:rsidRDefault="00E7654F" w:rsidP="00B33555">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1CB"/>
    <w:multiLevelType w:val="hybridMultilevel"/>
    <w:tmpl w:val="9EEC4C44"/>
    <w:lvl w:ilvl="0" w:tplc="F25AF5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AC0F13"/>
    <w:multiLevelType w:val="hybridMultilevel"/>
    <w:tmpl w:val="F38E3C08"/>
    <w:lvl w:ilvl="0" w:tplc="288023F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942241"/>
    <w:multiLevelType w:val="multilevel"/>
    <w:tmpl w:val="191CD0E0"/>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Calibri" w:eastAsiaTheme="minorHAns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B0A85"/>
    <w:multiLevelType w:val="hybridMultilevel"/>
    <w:tmpl w:val="99CE2388"/>
    <w:lvl w:ilvl="0" w:tplc="719E54C2">
      <w:start w:val="1"/>
      <w:numFmt w:val="bullet"/>
      <w:lvlText w:val="•"/>
      <w:lvlJc w:val="left"/>
      <w:pPr>
        <w:tabs>
          <w:tab w:val="num" w:pos="720"/>
        </w:tabs>
        <w:ind w:left="720" w:hanging="360"/>
      </w:pPr>
      <w:rPr>
        <w:rFonts w:ascii="Arial" w:hAnsi="Arial" w:hint="default"/>
      </w:rPr>
    </w:lvl>
    <w:lvl w:ilvl="1" w:tplc="04EE6972" w:tentative="1">
      <w:start w:val="1"/>
      <w:numFmt w:val="bullet"/>
      <w:lvlText w:val="•"/>
      <w:lvlJc w:val="left"/>
      <w:pPr>
        <w:tabs>
          <w:tab w:val="num" w:pos="1440"/>
        </w:tabs>
        <w:ind w:left="1440" w:hanging="360"/>
      </w:pPr>
      <w:rPr>
        <w:rFonts w:ascii="Arial" w:hAnsi="Arial" w:hint="default"/>
      </w:rPr>
    </w:lvl>
    <w:lvl w:ilvl="2" w:tplc="D362E716" w:tentative="1">
      <w:start w:val="1"/>
      <w:numFmt w:val="bullet"/>
      <w:lvlText w:val="•"/>
      <w:lvlJc w:val="left"/>
      <w:pPr>
        <w:tabs>
          <w:tab w:val="num" w:pos="2160"/>
        </w:tabs>
        <w:ind w:left="2160" w:hanging="360"/>
      </w:pPr>
      <w:rPr>
        <w:rFonts w:ascii="Arial" w:hAnsi="Arial" w:hint="default"/>
      </w:rPr>
    </w:lvl>
    <w:lvl w:ilvl="3" w:tplc="EF6809A2" w:tentative="1">
      <w:start w:val="1"/>
      <w:numFmt w:val="bullet"/>
      <w:lvlText w:val="•"/>
      <w:lvlJc w:val="left"/>
      <w:pPr>
        <w:tabs>
          <w:tab w:val="num" w:pos="2880"/>
        </w:tabs>
        <w:ind w:left="2880" w:hanging="360"/>
      </w:pPr>
      <w:rPr>
        <w:rFonts w:ascii="Arial" w:hAnsi="Arial" w:hint="default"/>
      </w:rPr>
    </w:lvl>
    <w:lvl w:ilvl="4" w:tplc="0D7CA3E8" w:tentative="1">
      <w:start w:val="1"/>
      <w:numFmt w:val="bullet"/>
      <w:lvlText w:val="•"/>
      <w:lvlJc w:val="left"/>
      <w:pPr>
        <w:tabs>
          <w:tab w:val="num" w:pos="3600"/>
        </w:tabs>
        <w:ind w:left="3600" w:hanging="360"/>
      </w:pPr>
      <w:rPr>
        <w:rFonts w:ascii="Arial" w:hAnsi="Arial" w:hint="default"/>
      </w:rPr>
    </w:lvl>
    <w:lvl w:ilvl="5" w:tplc="7C3A5D48" w:tentative="1">
      <w:start w:val="1"/>
      <w:numFmt w:val="bullet"/>
      <w:lvlText w:val="•"/>
      <w:lvlJc w:val="left"/>
      <w:pPr>
        <w:tabs>
          <w:tab w:val="num" w:pos="4320"/>
        </w:tabs>
        <w:ind w:left="4320" w:hanging="360"/>
      </w:pPr>
      <w:rPr>
        <w:rFonts w:ascii="Arial" w:hAnsi="Arial" w:hint="default"/>
      </w:rPr>
    </w:lvl>
    <w:lvl w:ilvl="6" w:tplc="116CD712" w:tentative="1">
      <w:start w:val="1"/>
      <w:numFmt w:val="bullet"/>
      <w:lvlText w:val="•"/>
      <w:lvlJc w:val="left"/>
      <w:pPr>
        <w:tabs>
          <w:tab w:val="num" w:pos="5040"/>
        </w:tabs>
        <w:ind w:left="5040" w:hanging="360"/>
      </w:pPr>
      <w:rPr>
        <w:rFonts w:ascii="Arial" w:hAnsi="Arial" w:hint="default"/>
      </w:rPr>
    </w:lvl>
    <w:lvl w:ilvl="7" w:tplc="7A6271FE" w:tentative="1">
      <w:start w:val="1"/>
      <w:numFmt w:val="bullet"/>
      <w:lvlText w:val="•"/>
      <w:lvlJc w:val="left"/>
      <w:pPr>
        <w:tabs>
          <w:tab w:val="num" w:pos="5760"/>
        </w:tabs>
        <w:ind w:left="5760" w:hanging="360"/>
      </w:pPr>
      <w:rPr>
        <w:rFonts w:ascii="Arial" w:hAnsi="Arial" w:hint="default"/>
      </w:rPr>
    </w:lvl>
    <w:lvl w:ilvl="8" w:tplc="AB86A1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BA7FFA"/>
    <w:multiLevelType w:val="hybridMultilevel"/>
    <w:tmpl w:val="FF224D8A"/>
    <w:lvl w:ilvl="0" w:tplc="F25AF5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4D21"/>
    <w:multiLevelType w:val="hybridMultilevel"/>
    <w:tmpl w:val="4840534C"/>
    <w:lvl w:ilvl="0" w:tplc="21425814">
      <w:start w:val="1"/>
      <w:numFmt w:val="bullet"/>
      <w:lvlText w:val="•"/>
      <w:lvlJc w:val="left"/>
      <w:pPr>
        <w:tabs>
          <w:tab w:val="num" w:pos="720"/>
        </w:tabs>
        <w:ind w:left="720" w:hanging="360"/>
      </w:pPr>
      <w:rPr>
        <w:rFonts w:ascii="Arial" w:hAnsi="Arial" w:hint="default"/>
      </w:rPr>
    </w:lvl>
    <w:lvl w:ilvl="1" w:tplc="4E0219D8" w:tentative="1">
      <w:start w:val="1"/>
      <w:numFmt w:val="bullet"/>
      <w:lvlText w:val="•"/>
      <w:lvlJc w:val="left"/>
      <w:pPr>
        <w:tabs>
          <w:tab w:val="num" w:pos="1440"/>
        </w:tabs>
        <w:ind w:left="1440" w:hanging="360"/>
      </w:pPr>
      <w:rPr>
        <w:rFonts w:ascii="Arial" w:hAnsi="Arial" w:hint="default"/>
      </w:rPr>
    </w:lvl>
    <w:lvl w:ilvl="2" w:tplc="E83A9FF6" w:tentative="1">
      <w:start w:val="1"/>
      <w:numFmt w:val="bullet"/>
      <w:lvlText w:val="•"/>
      <w:lvlJc w:val="left"/>
      <w:pPr>
        <w:tabs>
          <w:tab w:val="num" w:pos="2160"/>
        </w:tabs>
        <w:ind w:left="2160" w:hanging="360"/>
      </w:pPr>
      <w:rPr>
        <w:rFonts w:ascii="Arial" w:hAnsi="Arial" w:hint="default"/>
      </w:rPr>
    </w:lvl>
    <w:lvl w:ilvl="3" w:tplc="33EA1FF0" w:tentative="1">
      <w:start w:val="1"/>
      <w:numFmt w:val="bullet"/>
      <w:lvlText w:val="•"/>
      <w:lvlJc w:val="left"/>
      <w:pPr>
        <w:tabs>
          <w:tab w:val="num" w:pos="2880"/>
        </w:tabs>
        <w:ind w:left="2880" w:hanging="360"/>
      </w:pPr>
      <w:rPr>
        <w:rFonts w:ascii="Arial" w:hAnsi="Arial" w:hint="default"/>
      </w:rPr>
    </w:lvl>
    <w:lvl w:ilvl="4" w:tplc="8E5E1ABC" w:tentative="1">
      <w:start w:val="1"/>
      <w:numFmt w:val="bullet"/>
      <w:lvlText w:val="•"/>
      <w:lvlJc w:val="left"/>
      <w:pPr>
        <w:tabs>
          <w:tab w:val="num" w:pos="3600"/>
        </w:tabs>
        <w:ind w:left="3600" w:hanging="360"/>
      </w:pPr>
      <w:rPr>
        <w:rFonts w:ascii="Arial" w:hAnsi="Arial" w:hint="default"/>
      </w:rPr>
    </w:lvl>
    <w:lvl w:ilvl="5" w:tplc="E85A882A" w:tentative="1">
      <w:start w:val="1"/>
      <w:numFmt w:val="bullet"/>
      <w:lvlText w:val="•"/>
      <w:lvlJc w:val="left"/>
      <w:pPr>
        <w:tabs>
          <w:tab w:val="num" w:pos="4320"/>
        </w:tabs>
        <w:ind w:left="4320" w:hanging="360"/>
      </w:pPr>
      <w:rPr>
        <w:rFonts w:ascii="Arial" w:hAnsi="Arial" w:hint="default"/>
      </w:rPr>
    </w:lvl>
    <w:lvl w:ilvl="6" w:tplc="355C5EAA" w:tentative="1">
      <w:start w:val="1"/>
      <w:numFmt w:val="bullet"/>
      <w:lvlText w:val="•"/>
      <w:lvlJc w:val="left"/>
      <w:pPr>
        <w:tabs>
          <w:tab w:val="num" w:pos="5040"/>
        </w:tabs>
        <w:ind w:left="5040" w:hanging="360"/>
      </w:pPr>
      <w:rPr>
        <w:rFonts w:ascii="Arial" w:hAnsi="Arial" w:hint="default"/>
      </w:rPr>
    </w:lvl>
    <w:lvl w:ilvl="7" w:tplc="1EEC8982" w:tentative="1">
      <w:start w:val="1"/>
      <w:numFmt w:val="bullet"/>
      <w:lvlText w:val="•"/>
      <w:lvlJc w:val="left"/>
      <w:pPr>
        <w:tabs>
          <w:tab w:val="num" w:pos="5760"/>
        </w:tabs>
        <w:ind w:left="5760" w:hanging="360"/>
      </w:pPr>
      <w:rPr>
        <w:rFonts w:ascii="Arial" w:hAnsi="Arial" w:hint="default"/>
      </w:rPr>
    </w:lvl>
    <w:lvl w:ilvl="8" w:tplc="C332F7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640E9E"/>
    <w:multiLevelType w:val="hybridMultilevel"/>
    <w:tmpl w:val="D076C31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15:restartNumberingAfterBreak="0">
    <w:nsid w:val="54E34B14"/>
    <w:multiLevelType w:val="hybridMultilevel"/>
    <w:tmpl w:val="FCC832C2"/>
    <w:lvl w:ilvl="0" w:tplc="A1E451D2">
      <w:start w:val="1"/>
      <w:numFmt w:val="bullet"/>
      <w:lvlText w:val="•"/>
      <w:lvlJc w:val="left"/>
      <w:pPr>
        <w:tabs>
          <w:tab w:val="num" w:pos="360"/>
        </w:tabs>
        <w:ind w:left="360" w:hanging="360"/>
      </w:pPr>
      <w:rPr>
        <w:rFonts w:ascii="Arial" w:hAnsi="Arial" w:hint="default"/>
      </w:rPr>
    </w:lvl>
    <w:lvl w:ilvl="1" w:tplc="71F06A58" w:tentative="1">
      <w:start w:val="1"/>
      <w:numFmt w:val="bullet"/>
      <w:lvlText w:val="•"/>
      <w:lvlJc w:val="left"/>
      <w:pPr>
        <w:tabs>
          <w:tab w:val="num" w:pos="1080"/>
        </w:tabs>
        <w:ind w:left="1080" w:hanging="360"/>
      </w:pPr>
      <w:rPr>
        <w:rFonts w:ascii="Arial" w:hAnsi="Arial" w:hint="default"/>
      </w:rPr>
    </w:lvl>
    <w:lvl w:ilvl="2" w:tplc="0B08832C" w:tentative="1">
      <w:start w:val="1"/>
      <w:numFmt w:val="bullet"/>
      <w:lvlText w:val="•"/>
      <w:lvlJc w:val="left"/>
      <w:pPr>
        <w:tabs>
          <w:tab w:val="num" w:pos="1800"/>
        </w:tabs>
        <w:ind w:left="1800" w:hanging="360"/>
      </w:pPr>
      <w:rPr>
        <w:rFonts w:ascii="Arial" w:hAnsi="Arial" w:hint="default"/>
      </w:rPr>
    </w:lvl>
    <w:lvl w:ilvl="3" w:tplc="D2386A78" w:tentative="1">
      <w:start w:val="1"/>
      <w:numFmt w:val="bullet"/>
      <w:lvlText w:val="•"/>
      <w:lvlJc w:val="left"/>
      <w:pPr>
        <w:tabs>
          <w:tab w:val="num" w:pos="2520"/>
        </w:tabs>
        <w:ind w:left="2520" w:hanging="360"/>
      </w:pPr>
      <w:rPr>
        <w:rFonts w:ascii="Arial" w:hAnsi="Arial" w:hint="default"/>
      </w:rPr>
    </w:lvl>
    <w:lvl w:ilvl="4" w:tplc="0D66733E" w:tentative="1">
      <w:start w:val="1"/>
      <w:numFmt w:val="bullet"/>
      <w:lvlText w:val="•"/>
      <w:lvlJc w:val="left"/>
      <w:pPr>
        <w:tabs>
          <w:tab w:val="num" w:pos="3240"/>
        </w:tabs>
        <w:ind w:left="3240" w:hanging="360"/>
      </w:pPr>
      <w:rPr>
        <w:rFonts w:ascii="Arial" w:hAnsi="Arial" w:hint="default"/>
      </w:rPr>
    </w:lvl>
    <w:lvl w:ilvl="5" w:tplc="A0429D24" w:tentative="1">
      <w:start w:val="1"/>
      <w:numFmt w:val="bullet"/>
      <w:lvlText w:val="•"/>
      <w:lvlJc w:val="left"/>
      <w:pPr>
        <w:tabs>
          <w:tab w:val="num" w:pos="3960"/>
        </w:tabs>
        <w:ind w:left="3960" w:hanging="360"/>
      </w:pPr>
      <w:rPr>
        <w:rFonts w:ascii="Arial" w:hAnsi="Arial" w:hint="default"/>
      </w:rPr>
    </w:lvl>
    <w:lvl w:ilvl="6" w:tplc="14C2B96E" w:tentative="1">
      <w:start w:val="1"/>
      <w:numFmt w:val="bullet"/>
      <w:lvlText w:val="•"/>
      <w:lvlJc w:val="left"/>
      <w:pPr>
        <w:tabs>
          <w:tab w:val="num" w:pos="4680"/>
        </w:tabs>
        <w:ind w:left="4680" w:hanging="360"/>
      </w:pPr>
      <w:rPr>
        <w:rFonts w:ascii="Arial" w:hAnsi="Arial" w:hint="default"/>
      </w:rPr>
    </w:lvl>
    <w:lvl w:ilvl="7" w:tplc="47D4E2A4" w:tentative="1">
      <w:start w:val="1"/>
      <w:numFmt w:val="bullet"/>
      <w:lvlText w:val="•"/>
      <w:lvlJc w:val="left"/>
      <w:pPr>
        <w:tabs>
          <w:tab w:val="num" w:pos="5400"/>
        </w:tabs>
        <w:ind w:left="5400" w:hanging="360"/>
      </w:pPr>
      <w:rPr>
        <w:rFonts w:ascii="Arial" w:hAnsi="Arial" w:hint="default"/>
      </w:rPr>
    </w:lvl>
    <w:lvl w:ilvl="8" w:tplc="6D3E429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528350D"/>
    <w:multiLevelType w:val="hybridMultilevel"/>
    <w:tmpl w:val="E0829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8702CB"/>
    <w:multiLevelType w:val="hybridMultilevel"/>
    <w:tmpl w:val="00F298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5E54"/>
    <w:multiLevelType w:val="hybridMultilevel"/>
    <w:tmpl w:val="33B2BAD0"/>
    <w:lvl w:ilvl="0" w:tplc="89FAC550">
      <w:numFmt w:val="bullet"/>
      <w:lvlText w:val="-"/>
      <w:lvlJc w:val="left"/>
      <w:pPr>
        <w:ind w:left="1080" w:hanging="360"/>
      </w:pPr>
      <w:rPr>
        <w:rFonts w:ascii="Cambria" w:eastAsia="Calibri" w:hAnsi="Cambria" w:cs="Lucida Sans Unicode"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616A6C95"/>
    <w:multiLevelType w:val="multilevel"/>
    <w:tmpl w:val="48041BBE"/>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7D7B83"/>
    <w:multiLevelType w:val="hybridMultilevel"/>
    <w:tmpl w:val="4A02C158"/>
    <w:lvl w:ilvl="0" w:tplc="3A9E1498">
      <w:start w:val="38"/>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73080"/>
    <w:multiLevelType w:val="hybridMultilevel"/>
    <w:tmpl w:val="8F88D088"/>
    <w:lvl w:ilvl="0" w:tplc="728A9E32">
      <w:start w:val="7"/>
      <w:numFmt w:val="bullet"/>
      <w:lvlText w:val="-"/>
      <w:lvlJc w:val="left"/>
      <w:pPr>
        <w:ind w:left="1080" w:hanging="360"/>
      </w:pPr>
      <w:rPr>
        <w:rFonts w:ascii="Tahoma" w:eastAsiaTheme="minorHAnsi"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E7018B4"/>
    <w:multiLevelType w:val="hybridMultilevel"/>
    <w:tmpl w:val="1A1E4D72"/>
    <w:lvl w:ilvl="0" w:tplc="E460B324">
      <w:start w:val="1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4D44A42"/>
    <w:multiLevelType w:val="hybridMultilevel"/>
    <w:tmpl w:val="12BE43BA"/>
    <w:lvl w:ilvl="0" w:tplc="96747F84">
      <w:start w:val="1"/>
      <w:numFmt w:val="bullet"/>
      <w:lvlText w:val="•"/>
      <w:lvlJc w:val="left"/>
      <w:pPr>
        <w:tabs>
          <w:tab w:val="num" w:pos="720"/>
        </w:tabs>
        <w:ind w:left="720" w:hanging="360"/>
      </w:pPr>
      <w:rPr>
        <w:rFonts w:ascii="Arial" w:hAnsi="Arial" w:hint="default"/>
      </w:rPr>
    </w:lvl>
    <w:lvl w:ilvl="1" w:tplc="50C028DA" w:tentative="1">
      <w:start w:val="1"/>
      <w:numFmt w:val="bullet"/>
      <w:lvlText w:val="•"/>
      <w:lvlJc w:val="left"/>
      <w:pPr>
        <w:tabs>
          <w:tab w:val="num" w:pos="1440"/>
        </w:tabs>
        <w:ind w:left="1440" w:hanging="360"/>
      </w:pPr>
      <w:rPr>
        <w:rFonts w:ascii="Arial" w:hAnsi="Arial" w:hint="default"/>
      </w:rPr>
    </w:lvl>
    <w:lvl w:ilvl="2" w:tplc="90581344" w:tentative="1">
      <w:start w:val="1"/>
      <w:numFmt w:val="bullet"/>
      <w:lvlText w:val="•"/>
      <w:lvlJc w:val="left"/>
      <w:pPr>
        <w:tabs>
          <w:tab w:val="num" w:pos="2160"/>
        </w:tabs>
        <w:ind w:left="2160" w:hanging="360"/>
      </w:pPr>
      <w:rPr>
        <w:rFonts w:ascii="Arial" w:hAnsi="Arial" w:hint="default"/>
      </w:rPr>
    </w:lvl>
    <w:lvl w:ilvl="3" w:tplc="7388842C" w:tentative="1">
      <w:start w:val="1"/>
      <w:numFmt w:val="bullet"/>
      <w:lvlText w:val="•"/>
      <w:lvlJc w:val="left"/>
      <w:pPr>
        <w:tabs>
          <w:tab w:val="num" w:pos="2880"/>
        </w:tabs>
        <w:ind w:left="2880" w:hanging="360"/>
      </w:pPr>
      <w:rPr>
        <w:rFonts w:ascii="Arial" w:hAnsi="Arial" w:hint="default"/>
      </w:rPr>
    </w:lvl>
    <w:lvl w:ilvl="4" w:tplc="1CEE2CD8" w:tentative="1">
      <w:start w:val="1"/>
      <w:numFmt w:val="bullet"/>
      <w:lvlText w:val="•"/>
      <w:lvlJc w:val="left"/>
      <w:pPr>
        <w:tabs>
          <w:tab w:val="num" w:pos="3600"/>
        </w:tabs>
        <w:ind w:left="3600" w:hanging="360"/>
      </w:pPr>
      <w:rPr>
        <w:rFonts w:ascii="Arial" w:hAnsi="Arial" w:hint="default"/>
      </w:rPr>
    </w:lvl>
    <w:lvl w:ilvl="5" w:tplc="DE4826E8" w:tentative="1">
      <w:start w:val="1"/>
      <w:numFmt w:val="bullet"/>
      <w:lvlText w:val="•"/>
      <w:lvlJc w:val="left"/>
      <w:pPr>
        <w:tabs>
          <w:tab w:val="num" w:pos="4320"/>
        </w:tabs>
        <w:ind w:left="4320" w:hanging="360"/>
      </w:pPr>
      <w:rPr>
        <w:rFonts w:ascii="Arial" w:hAnsi="Arial" w:hint="default"/>
      </w:rPr>
    </w:lvl>
    <w:lvl w:ilvl="6" w:tplc="149858FE" w:tentative="1">
      <w:start w:val="1"/>
      <w:numFmt w:val="bullet"/>
      <w:lvlText w:val="•"/>
      <w:lvlJc w:val="left"/>
      <w:pPr>
        <w:tabs>
          <w:tab w:val="num" w:pos="5040"/>
        </w:tabs>
        <w:ind w:left="5040" w:hanging="360"/>
      </w:pPr>
      <w:rPr>
        <w:rFonts w:ascii="Arial" w:hAnsi="Arial" w:hint="default"/>
      </w:rPr>
    </w:lvl>
    <w:lvl w:ilvl="7" w:tplc="646C0EF6" w:tentative="1">
      <w:start w:val="1"/>
      <w:numFmt w:val="bullet"/>
      <w:lvlText w:val="•"/>
      <w:lvlJc w:val="left"/>
      <w:pPr>
        <w:tabs>
          <w:tab w:val="num" w:pos="5760"/>
        </w:tabs>
        <w:ind w:left="5760" w:hanging="360"/>
      </w:pPr>
      <w:rPr>
        <w:rFonts w:ascii="Arial" w:hAnsi="Arial" w:hint="default"/>
      </w:rPr>
    </w:lvl>
    <w:lvl w:ilvl="8" w:tplc="438254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CF67CF"/>
    <w:multiLevelType w:val="hybridMultilevel"/>
    <w:tmpl w:val="768EA296"/>
    <w:lvl w:ilvl="0" w:tplc="D00E4072">
      <w:start w:val="1"/>
      <w:numFmt w:val="bullet"/>
      <w:lvlText w:val="•"/>
      <w:lvlJc w:val="left"/>
      <w:pPr>
        <w:tabs>
          <w:tab w:val="num" w:pos="720"/>
        </w:tabs>
        <w:ind w:left="720" w:hanging="360"/>
      </w:pPr>
      <w:rPr>
        <w:rFonts w:ascii="Arial" w:hAnsi="Arial" w:hint="default"/>
      </w:rPr>
    </w:lvl>
    <w:lvl w:ilvl="1" w:tplc="A6688A70" w:tentative="1">
      <w:start w:val="1"/>
      <w:numFmt w:val="bullet"/>
      <w:lvlText w:val="•"/>
      <w:lvlJc w:val="left"/>
      <w:pPr>
        <w:tabs>
          <w:tab w:val="num" w:pos="1440"/>
        </w:tabs>
        <w:ind w:left="1440" w:hanging="360"/>
      </w:pPr>
      <w:rPr>
        <w:rFonts w:ascii="Arial" w:hAnsi="Arial" w:hint="default"/>
      </w:rPr>
    </w:lvl>
    <w:lvl w:ilvl="2" w:tplc="56DE0DA8" w:tentative="1">
      <w:start w:val="1"/>
      <w:numFmt w:val="bullet"/>
      <w:lvlText w:val="•"/>
      <w:lvlJc w:val="left"/>
      <w:pPr>
        <w:tabs>
          <w:tab w:val="num" w:pos="2160"/>
        </w:tabs>
        <w:ind w:left="2160" w:hanging="360"/>
      </w:pPr>
      <w:rPr>
        <w:rFonts w:ascii="Arial" w:hAnsi="Arial" w:hint="default"/>
      </w:rPr>
    </w:lvl>
    <w:lvl w:ilvl="3" w:tplc="4B2E71C6" w:tentative="1">
      <w:start w:val="1"/>
      <w:numFmt w:val="bullet"/>
      <w:lvlText w:val="•"/>
      <w:lvlJc w:val="left"/>
      <w:pPr>
        <w:tabs>
          <w:tab w:val="num" w:pos="2880"/>
        </w:tabs>
        <w:ind w:left="2880" w:hanging="360"/>
      </w:pPr>
      <w:rPr>
        <w:rFonts w:ascii="Arial" w:hAnsi="Arial" w:hint="default"/>
      </w:rPr>
    </w:lvl>
    <w:lvl w:ilvl="4" w:tplc="45B80C96" w:tentative="1">
      <w:start w:val="1"/>
      <w:numFmt w:val="bullet"/>
      <w:lvlText w:val="•"/>
      <w:lvlJc w:val="left"/>
      <w:pPr>
        <w:tabs>
          <w:tab w:val="num" w:pos="3600"/>
        </w:tabs>
        <w:ind w:left="3600" w:hanging="360"/>
      </w:pPr>
      <w:rPr>
        <w:rFonts w:ascii="Arial" w:hAnsi="Arial" w:hint="default"/>
      </w:rPr>
    </w:lvl>
    <w:lvl w:ilvl="5" w:tplc="390E5780" w:tentative="1">
      <w:start w:val="1"/>
      <w:numFmt w:val="bullet"/>
      <w:lvlText w:val="•"/>
      <w:lvlJc w:val="left"/>
      <w:pPr>
        <w:tabs>
          <w:tab w:val="num" w:pos="4320"/>
        </w:tabs>
        <w:ind w:left="4320" w:hanging="360"/>
      </w:pPr>
      <w:rPr>
        <w:rFonts w:ascii="Arial" w:hAnsi="Arial" w:hint="default"/>
      </w:rPr>
    </w:lvl>
    <w:lvl w:ilvl="6" w:tplc="2D94F1C2" w:tentative="1">
      <w:start w:val="1"/>
      <w:numFmt w:val="bullet"/>
      <w:lvlText w:val="•"/>
      <w:lvlJc w:val="left"/>
      <w:pPr>
        <w:tabs>
          <w:tab w:val="num" w:pos="5040"/>
        </w:tabs>
        <w:ind w:left="5040" w:hanging="360"/>
      </w:pPr>
      <w:rPr>
        <w:rFonts w:ascii="Arial" w:hAnsi="Arial" w:hint="default"/>
      </w:rPr>
    </w:lvl>
    <w:lvl w:ilvl="7" w:tplc="30EAD93C" w:tentative="1">
      <w:start w:val="1"/>
      <w:numFmt w:val="bullet"/>
      <w:lvlText w:val="•"/>
      <w:lvlJc w:val="left"/>
      <w:pPr>
        <w:tabs>
          <w:tab w:val="num" w:pos="5760"/>
        </w:tabs>
        <w:ind w:left="5760" w:hanging="360"/>
      </w:pPr>
      <w:rPr>
        <w:rFonts w:ascii="Arial" w:hAnsi="Arial" w:hint="default"/>
      </w:rPr>
    </w:lvl>
    <w:lvl w:ilvl="8" w:tplc="67940E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556497"/>
    <w:multiLevelType w:val="hybridMultilevel"/>
    <w:tmpl w:val="617C2E3C"/>
    <w:lvl w:ilvl="0" w:tplc="134813BC">
      <w:start w:val="1"/>
      <w:numFmt w:val="bullet"/>
      <w:lvlText w:val="•"/>
      <w:lvlJc w:val="left"/>
      <w:pPr>
        <w:tabs>
          <w:tab w:val="num" w:pos="720"/>
        </w:tabs>
        <w:ind w:left="720" w:hanging="360"/>
      </w:pPr>
      <w:rPr>
        <w:rFonts w:ascii="Arial" w:hAnsi="Arial" w:hint="default"/>
      </w:rPr>
    </w:lvl>
    <w:lvl w:ilvl="1" w:tplc="5DBC736E" w:tentative="1">
      <w:start w:val="1"/>
      <w:numFmt w:val="bullet"/>
      <w:lvlText w:val="•"/>
      <w:lvlJc w:val="left"/>
      <w:pPr>
        <w:tabs>
          <w:tab w:val="num" w:pos="1440"/>
        </w:tabs>
        <w:ind w:left="1440" w:hanging="360"/>
      </w:pPr>
      <w:rPr>
        <w:rFonts w:ascii="Arial" w:hAnsi="Arial" w:hint="default"/>
      </w:rPr>
    </w:lvl>
    <w:lvl w:ilvl="2" w:tplc="D728BE6E" w:tentative="1">
      <w:start w:val="1"/>
      <w:numFmt w:val="bullet"/>
      <w:lvlText w:val="•"/>
      <w:lvlJc w:val="left"/>
      <w:pPr>
        <w:tabs>
          <w:tab w:val="num" w:pos="2160"/>
        </w:tabs>
        <w:ind w:left="2160" w:hanging="360"/>
      </w:pPr>
      <w:rPr>
        <w:rFonts w:ascii="Arial" w:hAnsi="Arial" w:hint="default"/>
      </w:rPr>
    </w:lvl>
    <w:lvl w:ilvl="3" w:tplc="03760D52" w:tentative="1">
      <w:start w:val="1"/>
      <w:numFmt w:val="bullet"/>
      <w:lvlText w:val="•"/>
      <w:lvlJc w:val="left"/>
      <w:pPr>
        <w:tabs>
          <w:tab w:val="num" w:pos="2880"/>
        </w:tabs>
        <w:ind w:left="2880" w:hanging="360"/>
      </w:pPr>
      <w:rPr>
        <w:rFonts w:ascii="Arial" w:hAnsi="Arial" w:hint="default"/>
      </w:rPr>
    </w:lvl>
    <w:lvl w:ilvl="4" w:tplc="43C2F0B8" w:tentative="1">
      <w:start w:val="1"/>
      <w:numFmt w:val="bullet"/>
      <w:lvlText w:val="•"/>
      <w:lvlJc w:val="left"/>
      <w:pPr>
        <w:tabs>
          <w:tab w:val="num" w:pos="3600"/>
        </w:tabs>
        <w:ind w:left="3600" w:hanging="360"/>
      </w:pPr>
      <w:rPr>
        <w:rFonts w:ascii="Arial" w:hAnsi="Arial" w:hint="default"/>
      </w:rPr>
    </w:lvl>
    <w:lvl w:ilvl="5" w:tplc="5A361CBA" w:tentative="1">
      <w:start w:val="1"/>
      <w:numFmt w:val="bullet"/>
      <w:lvlText w:val="•"/>
      <w:lvlJc w:val="left"/>
      <w:pPr>
        <w:tabs>
          <w:tab w:val="num" w:pos="4320"/>
        </w:tabs>
        <w:ind w:left="4320" w:hanging="360"/>
      </w:pPr>
      <w:rPr>
        <w:rFonts w:ascii="Arial" w:hAnsi="Arial" w:hint="default"/>
      </w:rPr>
    </w:lvl>
    <w:lvl w:ilvl="6" w:tplc="5EF0A66E" w:tentative="1">
      <w:start w:val="1"/>
      <w:numFmt w:val="bullet"/>
      <w:lvlText w:val="•"/>
      <w:lvlJc w:val="left"/>
      <w:pPr>
        <w:tabs>
          <w:tab w:val="num" w:pos="5040"/>
        </w:tabs>
        <w:ind w:left="5040" w:hanging="360"/>
      </w:pPr>
      <w:rPr>
        <w:rFonts w:ascii="Arial" w:hAnsi="Arial" w:hint="default"/>
      </w:rPr>
    </w:lvl>
    <w:lvl w:ilvl="7" w:tplc="76204C42" w:tentative="1">
      <w:start w:val="1"/>
      <w:numFmt w:val="bullet"/>
      <w:lvlText w:val="•"/>
      <w:lvlJc w:val="left"/>
      <w:pPr>
        <w:tabs>
          <w:tab w:val="num" w:pos="5760"/>
        </w:tabs>
        <w:ind w:left="5760" w:hanging="360"/>
      </w:pPr>
      <w:rPr>
        <w:rFonts w:ascii="Arial" w:hAnsi="Arial" w:hint="default"/>
      </w:rPr>
    </w:lvl>
    <w:lvl w:ilvl="8" w:tplc="0706CEC8" w:tentative="1">
      <w:start w:val="1"/>
      <w:numFmt w:val="bullet"/>
      <w:lvlText w:val="•"/>
      <w:lvlJc w:val="left"/>
      <w:pPr>
        <w:tabs>
          <w:tab w:val="num" w:pos="6480"/>
        </w:tabs>
        <w:ind w:left="6480" w:hanging="360"/>
      </w:pPr>
      <w:rPr>
        <w:rFonts w:ascii="Arial" w:hAnsi="Arial" w:hint="default"/>
      </w:rPr>
    </w:lvl>
  </w:abstractNum>
  <w:num w:numId="1" w16cid:durableId="513618515">
    <w:abstractNumId w:val="11"/>
  </w:num>
  <w:num w:numId="2" w16cid:durableId="98189088">
    <w:abstractNumId w:val="12"/>
  </w:num>
  <w:num w:numId="3" w16cid:durableId="382602398">
    <w:abstractNumId w:val="13"/>
  </w:num>
  <w:num w:numId="4" w16cid:durableId="1568029722">
    <w:abstractNumId w:val="4"/>
  </w:num>
  <w:num w:numId="5" w16cid:durableId="1826237197">
    <w:abstractNumId w:val="6"/>
  </w:num>
  <w:num w:numId="6" w16cid:durableId="666322645">
    <w:abstractNumId w:val="0"/>
  </w:num>
  <w:num w:numId="7" w16cid:durableId="93213040">
    <w:abstractNumId w:val="9"/>
  </w:num>
  <w:num w:numId="8" w16cid:durableId="163133511">
    <w:abstractNumId w:val="1"/>
  </w:num>
  <w:num w:numId="9" w16cid:durableId="709649308">
    <w:abstractNumId w:val="14"/>
  </w:num>
  <w:num w:numId="10" w16cid:durableId="77872731">
    <w:abstractNumId w:val="7"/>
  </w:num>
  <w:num w:numId="11" w16cid:durableId="778373326">
    <w:abstractNumId w:val="3"/>
  </w:num>
  <w:num w:numId="12" w16cid:durableId="1878810621">
    <w:abstractNumId w:val="15"/>
  </w:num>
  <w:num w:numId="13" w16cid:durableId="1583028345">
    <w:abstractNumId w:val="16"/>
  </w:num>
  <w:num w:numId="14" w16cid:durableId="1929079173">
    <w:abstractNumId w:val="2"/>
  </w:num>
  <w:num w:numId="15" w16cid:durableId="757021416">
    <w:abstractNumId w:val="10"/>
  </w:num>
  <w:num w:numId="16" w16cid:durableId="29457245">
    <w:abstractNumId w:val="17"/>
  </w:num>
  <w:num w:numId="17" w16cid:durableId="2114279421">
    <w:abstractNumId w:val="5"/>
  </w:num>
  <w:num w:numId="18" w16cid:durableId="151888740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A5"/>
    <w:rsid w:val="000005B7"/>
    <w:rsid w:val="000033C4"/>
    <w:rsid w:val="00012232"/>
    <w:rsid w:val="00015AD6"/>
    <w:rsid w:val="00020B87"/>
    <w:rsid w:val="00020C11"/>
    <w:rsid w:val="00020C4F"/>
    <w:rsid w:val="000210FF"/>
    <w:rsid w:val="00026E04"/>
    <w:rsid w:val="0002775B"/>
    <w:rsid w:val="000308DA"/>
    <w:rsid w:val="00033B96"/>
    <w:rsid w:val="00040732"/>
    <w:rsid w:val="000427DA"/>
    <w:rsid w:val="00044696"/>
    <w:rsid w:val="00045203"/>
    <w:rsid w:val="00056168"/>
    <w:rsid w:val="00057EE1"/>
    <w:rsid w:val="00063233"/>
    <w:rsid w:val="00063E86"/>
    <w:rsid w:val="000668A3"/>
    <w:rsid w:val="0007080A"/>
    <w:rsid w:val="00075BFC"/>
    <w:rsid w:val="00077317"/>
    <w:rsid w:val="00080265"/>
    <w:rsid w:val="00082BF5"/>
    <w:rsid w:val="0008413D"/>
    <w:rsid w:val="00084470"/>
    <w:rsid w:val="00084BDB"/>
    <w:rsid w:val="00085DE8"/>
    <w:rsid w:val="0009161D"/>
    <w:rsid w:val="00091D1A"/>
    <w:rsid w:val="00091FB8"/>
    <w:rsid w:val="0009291B"/>
    <w:rsid w:val="0009395B"/>
    <w:rsid w:val="00094DD5"/>
    <w:rsid w:val="00094F3B"/>
    <w:rsid w:val="00096908"/>
    <w:rsid w:val="00096C9E"/>
    <w:rsid w:val="000976A9"/>
    <w:rsid w:val="000A1EA5"/>
    <w:rsid w:val="000B160E"/>
    <w:rsid w:val="000B28B1"/>
    <w:rsid w:val="000B5A54"/>
    <w:rsid w:val="000B6652"/>
    <w:rsid w:val="000B7E63"/>
    <w:rsid w:val="000C0625"/>
    <w:rsid w:val="000C3FDE"/>
    <w:rsid w:val="000C5FBE"/>
    <w:rsid w:val="000D70D6"/>
    <w:rsid w:val="000E15B7"/>
    <w:rsid w:val="000E22E0"/>
    <w:rsid w:val="000E2E36"/>
    <w:rsid w:val="000E73FB"/>
    <w:rsid w:val="000E76FD"/>
    <w:rsid w:val="000F2864"/>
    <w:rsid w:val="000F2DDF"/>
    <w:rsid w:val="000F457C"/>
    <w:rsid w:val="000F54B0"/>
    <w:rsid w:val="00100289"/>
    <w:rsid w:val="0010320B"/>
    <w:rsid w:val="00103264"/>
    <w:rsid w:val="0011092C"/>
    <w:rsid w:val="00112216"/>
    <w:rsid w:val="001128F6"/>
    <w:rsid w:val="00114263"/>
    <w:rsid w:val="00121C24"/>
    <w:rsid w:val="00121D02"/>
    <w:rsid w:val="00121EA5"/>
    <w:rsid w:val="00124597"/>
    <w:rsid w:val="001270E2"/>
    <w:rsid w:val="00127434"/>
    <w:rsid w:val="00127C7A"/>
    <w:rsid w:val="0013041C"/>
    <w:rsid w:val="001332C7"/>
    <w:rsid w:val="00135629"/>
    <w:rsid w:val="00135708"/>
    <w:rsid w:val="00137157"/>
    <w:rsid w:val="00137ADF"/>
    <w:rsid w:val="00140AA9"/>
    <w:rsid w:val="00141E5C"/>
    <w:rsid w:val="00143530"/>
    <w:rsid w:val="001458C0"/>
    <w:rsid w:val="00147429"/>
    <w:rsid w:val="00147EDB"/>
    <w:rsid w:val="001543CB"/>
    <w:rsid w:val="00154905"/>
    <w:rsid w:val="00156D40"/>
    <w:rsid w:val="00157AFF"/>
    <w:rsid w:val="001608B3"/>
    <w:rsid w:val="00162A68"/>
    <w:rsid w:val="001634D7"/>
    <w:rsid w:val="00164796"/>
    <w:rsid w:val="00164F46"/>
    <w:rsid w:val="00166855"/>
    <w:rsid w:val="00173531"/>
    <w:rsid w:val="00174C14"/>
    <w:rsid w:val="00176B0D"/>
    <w:rsid w:val="00176EDC"/>
    <w:rsid w:val="0018065F"/>
    <w:rsid w:val="001810FB"/>
    <w:rsid w:val="00184632"/>
    <w:rsid w:val="0019244C"/>
    <w:rsid w:val="00197108"/>
    <w:rsid w:val="0019719D"/>
    <w:rsid w:val="00197E13"/>
    <w:rsid w:val="001A0686"/>
    <w:rsid w:val="001A069C"/>
    <w:rsid w:val="001A0D91"/>
    <w:rsid w:val="001A1FBF"/>
    <w:rsid w:val="001A2A88"/>
    <w:rsid w:val="001A501C"/>
    <w:rsid w:val="001A507F"/>
    <w:rsid w:val="001A5661"/>
    <w:rsid w:val="001B4783"/>
    <w:rsid w:val="001B4BB2"/>
    <w:rsid w:val="001B4F8E"/>
    <w:rsid w:val="001C2C57"/>
    <w:rsid w:val="001C6B35"/>
    <w:rsid w:val="001C722A"/>
    <w:rsid w:val="001D141A"/>
    <w:rsid w:val="001D1BC7"/>
    <w:rsid w:val="001D28D6"/>
    <w:rsid w:val="001D4345"/>
    <w:rsid w:val="001E2AFB"/>
    <w:rsid w:val="001E6C50"/>
    <w:rsid w:val="001E737F"/>
    <w:rsid w:val="001F25F2"/>
    <w:rsid w:val="001F4371"/>
    <w:rsid w:val="001F6487"/>
    <w:rsid w:val="001F6A34"/>
    <w:rsid w:val="001F7BE9"/>
    <w:rsid w:val="00202CDE"/>
    <w:rsid w:val="00202FEB"/>
    <w:rsid w:val="0020622A"/>
    <w:rsid w:val="00213564"/>
    <w:rsid w:val="00215BF8"/>
    <w:rsid w:val="00215ED4"/>
    <w:rsid w:val="00216EC1"/>
    <w:rsid w:val="002206EE"/>
    <w:rsid w:val="00224015"/>
    <w:rsid w:val="00224937"/>
    <w:rsid w:val="0022675B"/>
    <w:rsid w:val="002333A4"/>
    <w:rsid w:val="0023555F"/>
    <w:rsid w:val="00240F74"/>
    <w:rsid w:val="0024183A"/>
    <w:rsid w:val="002447B3"/>
    <w:rsid w:val="00245CD7"/>
    <w:rsid w:val="002463DD"/>
    <w:rsid w:val="0025766D"/>
    <w:rsid w:val="00257995"/>
    <w:rsid w:val="0026013C"/>
    <w:rsid w:val="00261081"/>
    <w:rsid w:val="00262410"/>
    <w:rsid w:val="00264A34"/>
    <w:rsid w:val="00265441"/>
    <w:rsid w:val="002677D1"/>
    <w:rsid w:val="00270871"/>
    <w:rsid w:val="00271098"/>
    <w:rsid w:val="00281225"/>
    <w:rsid w:val="00287190"/>
    <w:rsid w:val="00290FB3"/>
    <w:rsid w:val="002910BD"/>
    <w:rsid w:val="00291E39"/>
    <w:rsid w:val="002959DE"/>
    <w:rsid w:val="002960DB"/>
    <w:rsid w:val="00296A4F"/>
    <w:rsid w:val="00297ED3"/>
    <w:rsid w:val="002A0953"/>
    <w:rsid w:val="002A2153"/>
    <w:rsid w:val="002A22C0"/>
    <w:rsid w:val="002A24B6"/>
    <w:rsid w:val="002A3DFB"/>
    <w:rsid w:val="002A45AA"/>
    <w:rsid w:val="002A4E8B"/>
    <w:rsid w:val="002A6216"/>
    <w:rsid w:val="002B0738"/>
    <w:rsid w:val="002B5CF2"/>
    <w:rsid w:val="002B7752"/>
    <w:rsid w:val="002C0DD4"/>
    <w:rsid w:val="002C2C3B"/>
    <w:rsid w:val="002D060A"/>
    <w:rsid w:val="002D588C"/>
    <w:rsid w:val="002D7A06"/>
    <w:rsid w:val="002E10F1"/>
    <w:rsid w:val="002E41B9"/>
    <w:rsid w:val="002F1E38"/>
    <w:rsid w:val="002F2AF8"/>
    <w:rsid w:val="002F4449"/>
    <w:rsid w:val="002F4AD2"/>
    <w:rsid w:val="002F545E"/>
    <w:rsid w:val="002F5B01"/>
    <w:rsid w:val="002F6A88"/>
    <w:rsid w:val="002F7972"/>
    <w:rsid w:val="00301F43"/>
    <w:rsid w:val="00302C61"/>
    <w:rsid w:val="003120EA"/>
    <w:rsid w:val="0031704B"/>
    <w:rsid w:val="00323FC0"/>
    <w:rsid w:val="00324E7C"/>
    <w:rsid w:val="00343A21"/>
    <w:rsid w:val="00344CA0"/>
    <w:rsid w:val="00346451"/>
    <w:rsid w:val="00346546"/>
    <w:rsid w:val="003474D8"/>
    <w:rsid w:val="00351240"/>
    <w:rsid w:val="00353525"/>
    <w:rsid w:val="00354198"/>
    <w:rsid w:val="00354929"/>
    <w:rsid w:val="003549B9"/>
    <w:rsid w:val="00356101"/>
    <w:rsid w:val="003569F1"/>
    <w:rsid w:val="00357E3F"/>
    <w:rsid w:val="00361941"/>
    <w:rsid w:val="003622CE"/>
    <w:rsid w:val="00365411"/>
    <w:rsid w:val="003706F7"/>
    <w:rsid w:val="00372141"/>
    <w:rsid w:val="00372D6C"/>
    <w:rsid w:val="0037609C"/>
    <w:rsid w:val="00376438"/>
    <w:rsid w:val="00376894"/>
    <w:rsid w:val="00380BE2"/>
    <w:rsid w:val="00382570"/>
    <w:rsid w:val="0038327A"/>
    <w:rsid w:val="00385EB2"/>
    <w:rsid w:val="00390B0A"/>
    <w:rsid w:val="0039141B"/>
    <w:rsid w:val="00394328"/>
    <w:rsid w:val="00394890"/>
    <w:rsid w:val="00394BD2"/>
    <w:rsid w:val="00395A4A"/>
    <w:rsid w:val="003960BB"/>
    <w:rsid w:val="003975B9"/>
    <w:rsid w:val="00397DB6"/>
    <w:rsid w:val="003A3D39"/>
    <w:rsid w:val="003A3FB3"/>
    <w:rsid w:val="003A4AB1"/>
    <w:rsid w:val="003A5B3C"/>
    <w:rsid w:val="003A776E"/>
    <w:rsid w:val="003B3E97"/>
    <w:rsid w:val="003B70DD"/>
    <w:rsid w:val="003C0AA3"/>
    <w:rsid w:val="003C15F1"/>
    <w:rsid w:val="003C1F97"/>
    <w:rsid w:val="003C217C"/>
    <w:rsid w:val="003C405E"/>
    <w:rsid w:val="003C43A4"/>
    <w:rsid w:val="003C5104"/>
    <w:rsid w:val="003D0778"/>
    <w:rsid w:val="003D0AB7"/>
    <w:rsid w:val="003D2FF8"/>
    <w:rsid w:val="003D49E1"/>
    <w:rsid w:val="003D67FB"/>
    <w:rsid w:val="003D6BB3"/>
    <w:rsid w:val="003E0A67"/>
    <w:rsid w:val="003E1E77"/>
    <w:rsid w:val="003E1E79"/>
    <w:rsid w:val="003E579C"/>
    <w:rsid w:val="003E6674"/>
    <w:rsid w:val="003E781E"/>
    <w:rsid w:val="003F164F"/>
    <w:rsid w:val="003F2971"/>
    <w:rsid w:val="003F2CD8"/>
    <w:rsid w:val="003F47BB"/>
    <w:rsid w:val="003F71F7"/>
    <w:rsid w:val="003F7DE7"/>
    <w:rsid w:val="00400E5F"/>
    <w:rsid w:val="0040471B"/>
    <w:rsid w:val="00406306"/>
    <w:rsid w:val="00407C13"/>
    <w:rsid w:val="00413012"/>
    <w:rsid w:val="00414117"/>
    <w:rsid w:val="00417E34"/>
    <w:rsid w:val="0042150B"/>
    <w:rsid w:val="0042295B"/>
    <w:rsid w:val="00424321"/>
    <w:rsid w:val="0042515A"/>
    <w:rsid w:val="0042573A"/>
    <w:rsid w:val="00427589"/>
    <w:rsid w:val="004339FA"/>
    <w:rsid w:val="00436B8D"/>
    <w:rsid w:val="0043708C"/>
    <w:rsid w:val="00440F58"/>
    <w:rsid w:val="00441279"/>
    <w:rsid w:val="00441611"/>
    <w:rsid w:val="00444AEE"/>
    <w:rsid w:val="004519B6"/>
    <w:rsid w:val="004542AD"/>
    <w:rsid w:val="00454824"/>
    <w:rsid w:val="004569FA"/>
    <w:rsid w:val="00456F2F"/>
    <w:rsid w:val="0045796A"/>
    <w:rsid w:val="00457CAC"/>
    <w:rsid w:val="004602D2"/>
    <w:rsid w:val="0046158F"/>
    <w:rsid w:val="00462C02"/>
    <w:rsid w:val="004640EA"/>
    <w:rsid w:val="0047149D"/>
    <w:rsid w:val="004718EF"/>
    <w:rsid w:val="00472009"/>
    <w:rsid w:val="00472BE2"/>
    <w:rsid w:val="00473341"/>
    <w:rsid w:val="004761F0"/>
    <w:rsid w:val="0047683B"/>
    <w:rsid w:val="00480146"/>
    <w:rsid w:val="004817E2"/>
    <w:rsid w:val="00482A11"/>
    <w:rsid w:val="00484361"/>
    <w:rsid w:val="00484CE1"/>
    <w:rsid w:val="00487A9F"/>
    <w:rsid w:val="00494E8F"/>
    <w:rsid w:val="00495287"/>
    <w:rsid w:val="004A16E5"/>
    <w:rsid w:val="004A32B3"/>
    <w:rsid w:val="004A339F"/>
    <w:rsid w:val="004A4F25"/>
    <w:rsid w:val="004B5BD6"/>
    <w:rsid w:val="004B6108"/>
    <w:rsid w:val="004B638A"/>
    <w:rsid w:val="004C0C17"/>
    <w:rsid w:val="004C574F"/>
    <w:rsid w:val="004C6CEA"/>
    <w:rsid w:val="004C6CFA"/>
    <w:rsid w:val="004C71E2"/>
    <w:rsid w:val="004C762E"/>
    <w:rsid w:val="004D40B2"/>
    <w:rsid w:val="004E363E"/>
    <w:rsid w:val="004E3F95"/>
    <w:rsid w:val="004E52DF"/>
    <w:rsid w:val="004E7587"/>
    <w:rsid w:val="004E7D36"/>
    <w:rsid w:val="004F1445"/>
    <w:rsid w:val="004F179D"/>
    <w:rsid w:val="004F2FF6"/>
    <w:rsid w:val="004F598D"/>
    <w:rsid w:val="004F7D61"/>
    <w:rsid w:val="005015A9"/>
    <w:rsid w:val="00504D51"/>
    <w:rsid w:val="00507828"/>
    <w:rsid w:val="00513791"/>
    <w:rsid w:val="00516AB7"/>
    <w:rsid w:val="00516E91"/>
    <w:rsid w:val="00516EA5"/>
    <w:rsid w:val="0051706C"/>
    <w:rsid w:val="005174EF"/>
    <w:rsid w:val="00520DD0"/>
    <w:rsid w:val="0052498E"/>
    <w:rsid w:val="005270D3"/>
    <w:rsid w:val="00527E4C"/>
    <w:rsid w:val="005300BB"/>
    <w:rsid w:val="005404B3"/>
    <w:rsid w:val="00540E37"/>
    <w:rsid w:val="00541075"/>
    <w:rsid w:val="00544BAA"/>
    <w:rsid w:val="00552875"/>
    <w:rsid w:val="00554094"/>
    <w:rsid w:val="005542ED"/>
    <w:rsid w:val="00556D91"/>
    <w:rsid w:val="00557EEA"/>
    <w:rsid w:val="00560185"/>
    <w:rsid w:val="005617E7"/>
    <w:rsid w:val="00562E2B"/>
    <w:rsid w:val="005631FD"/>
    <w:rsid w:val="00567A71"/>
    <w:rsid w:val="0057287E"/>
    <w:rsid w:val="0057632A"/>
    <w:rsid w:val="0057740F"/>
    <w:rsid w:val="00577E3B"/>
    <w:rsid w:val="00582BA3"/>
    <w:rsid w:val="00586900"/>
    <w:rsid w:val="0059090C"/>
    <w:rsid w:val="00593CF5"/>
    <w:rsid w:val="00596923"/>
    <w:rsid w:val="005A4683"/>
    <w:rsid w:val="005B13F2"/>
    <w:rsid w:val="005B20D7"/>
    <w:rsid w:val="005B5D10"/>
    <w:rsid w:val="005C0E83"/>
    <w:rsid w:val="005C3451"/>
    <w:rsid w:val="005C5FCC"/>
    <w:rsid w:val="005C779B"/>
    <w:rsid w:val="005D2A56"/>
    <w:rsid w:val="005D5033"/>
    <w:rsid w:val="005D5726"/>
    <w:rsid w:val="005D584F"/>
    <w:rsid w:val="005D5A0E"/>
    <w:rsid w:val="005D7BCA"/>
    <w:rsid w:val="005E0293"/>
    <w:rsid w:val="005E06D4"/>
    <w:rsid w:val="005E0D2E"/>
    <w:rsid w:val="005E0E85"/>
    <w:rsid w:val="005E2546"/>
    <w:rsid w:val="005E32A1"/>
    <w:rsid w:val="005E373B"/>
    <w:rsid w:val="005E5565"/>
    <w:rsid w:val="005F29CA"/>
    <w:rsid w:val="005F3687"/>
    <w:rsid w:val="005F6424"/>
    <w:rsid w:val="005F6A14"/>
    <w:rsid w:val="00611240"/>
    <w:rsid w:val="00613118"/>
    <w:rsid w:val="00617942"/>
    <w:rsid w:val="00620651"/>
    <w:rsid w:val="00624B31"/>
    <w:rsid w:val="006254B0"/>
    <w:rsid w:val="00626CE6"/>
    <w:rsid w:val="00631F85"/>
    <w:rsid w:val="00632AE0"/>
    <w:rsid w:val="006437B4"/>
    <w:rsid w:val="00645742"/>
    <w:rsid w:val="00645DA1"/>
    <w:rsid w:val="006466DA"/>
    <w:rsid w:val="00647E21"/>
    <w:rsid w:val="00656288"/>
    <w:rsid w:val="00657BF4"/>
    <w:rsid w:val="00665862"/>
    <w:rsid w:val="006665A5"/>
    <w:rsid w:val="00671EFD"/>
    <w:rsid w:val="00672B9C"/>
    <w:rsid w:val="00673D8C"/>
    <w:rsid w:val="00677B25"/>
    <w:rsid w:val="0068117B"/>
    <w:rsid w:val="00682415"/>
    <w:rsid w:val="00685F56"/>
    <w:rsid w:val="006908D2"/>
    <w:rsid w:val="006921AC"/>
    <w:rsid w:val="006923FB"/>
    <w:rsid w:val="006928BD"/>
    <w:rsid w:val="00695449"/>
    <w:rsid w:val="006955AE"/>
    <w:rsid w:val="00696D87"/>
    <w:rsid w:val="00696EF2"/>
    <w:rsid w:val="0069704D"/>
    <w:rsid w:val="006A0C43"/>
    <w:rsid w:val="006A4FC9"/>
    <w:rsid w:val="006A598C"/>
    <w:rsid w:val="006A70E0"/>
    <w:rsid w:val="006B124C"/>
    <w:rsid w:val="006B1845"/>
    <w:rsid w:val="006B435B"/>
    <w:rsid w:val="006B6CAF"/>
    <w:rsid w:val="006C182F"/>
    <w:rsid w:val="006C2509"/>
    <w:rsid w:val="006C2582"/>
    <w:rsid w:val="006C3C43"/>
    <w:rsid w:val="006C5598"/>
    <w:rsid w:val="006C5AC8"/>
    <w:rsid w:val="006D0EBF"/>
    <w:rsid w:val="006D244C"/>
    <w:rsid w:val="006D27DD"/>
    <w:rsid w:val="006D49A6"/>
    <w:rsid w:val="006D4D35"/>
    <w:rsid w:val="006D76AB"/>
    <w:rsid w:val="006E02D6"/>
    <w:rsid w:val="006E1626"/>
    <w:rsid w:val="006E2D02"/>
    <w:rsid w:val="006E4C5C"/>
    <w:rsid w:val="006E594B"/>
    <w:rsid w:val="006F5DBB"/>
    <w:rsid w:val="00700582"/>
    <w:rsid w:val="00701402"/>
    <w:rsid w:val="007037AE"/>
    <w:rsid w:val="00705927"/>
    <w:rsid w:val="00706886"/>
    <w:rsid w:val="0070751B"/>
    <w:rsid w:val="007108A1"/>
    <w:rsid w:val="00711404"/>
    <w:rsid w:val="00713BD3"/>
    <w:rsid w:val="00713DBF"/>
    <w:rsid w:val="00716400"/>
    <w:rsid w:val="00716EF8"/>
    <w:rsid w:val="00720E76"/>
    <w:rsid w:val="007234FA"/>
    <w:rsid w:val="00723936"/>
    <w:rsid w:val="00724B82"/>
    <w:rsid w:val="007252AB"/>
    <w:rsid w:val="007263FF"/>
    <w:rsid w:val="00727866"/>
    <w:rsid w:val="00730549"/>
    <w:rsid w:val="00730A62"/>
    <w:rsid w:val="00735FC7"/>
    <w:rsid w:val="00736350"/>
    <w:rsid w:val="00741010"/>
    <w:rsid w:val="00741CC9"/>
    <w:rsid w:val="00743920"/>
    <w:rsid w:val="00743D20"/>
    <w:rsid w:val="0074440D"/>
    <w:rsid w:val="0074727E"/>
    <w:rsid w:val="00747B28"/>
    <w:rsid w:val="00763DBB"/>
    <w:rsid w:val="00766819"/>
    <w:rsid w:val="0076774A"/>
    <w:rsid w:val="00767907"/>
    <w:rsid w:val="0077412D"/>
    <w:rsid w:val="007816B8"/>
    <w:rsid w:val="0078496B"/>
    <w:rsid w:val="007875E6"/>
    <w:rsid w:val="00792A2A"/>
    <w:rsid w:val="007948F0"/>
    <w:rsid w:val="00794AEB"/>
    <w:rsid w:val="0079679C"/>
    <w:rsid w:val="00796CA8"/>
    <w:rsid w:val="007A260A"/>
    <w:rsid w:val="007A283B"/>
    <w:rsid w:val="007B095C"/>
    <w:rsid w:val="007B0BCF"/>
    <w:rsid w:val="007C3980"/>
    <w:rsid w:val="007C4F77"/>
    <w:rsid w:val="007C5363"/>
    <w:rsid w:val="007C5AF0"/>
    <w:rsid w:val="007D6891"/>
    <w:rsid w:val="007E166C"/>
    <w:rsid w:val="007E5853"/>
    <w:rsid w:val="007F1959"/>
    <w:rsid w:val="007F6BC4"/>
    <w:rsid w:val="007F7E61"/>
    <w:rsid w:val="00800C15"/>
    <w:rsid w:val="00801D8C"/>
    <w:rsid w:val="008043FC"/>
    <w:rsid w:val="00806E40"/>
    <w:rsid w:val="0080736B"/>
    <w:rsid w:val="00810740"/>
    <w:rsid w:val="00816862"/>
    <w:rsid w:val="008216D6"/>
    <w:rsid w:val="00822570"/>
    <w:rsid w:val="00825B29"/>
    <w:rsid w:val="00830FB4"/>
    <w:rsid w:val="00832C1E"/>
    <w:rsid w:val="008330B9"/>
    <w:rsid w:val="008340A5"/>
    <w:rsid w:val="008402E8"/>
    <w:rsid w:val="008414FA"/>
    <w:rsid w:val="00841F36"/>
    <w:rsid w:val="00843467"/>
    <w:rsid w:val="00844412"/>
    <w:rsid w:val="00850994"/>
    <w:rsid w:val="00852705"/>
    <w:rsid w:val="008533A2"/>
    <w:rsid w:val="008556DD"/>
    <w:rsid w:val="00856736"/>
    <w:rsid w:val="008611C4"/>
    <w:rsid w:val="0086231E"/>
    <w:rsid w:val="0087718A"/>
    <w:rsid w:val="008777E2"/>
    <w:rsid w:val="00880231"/>
    <w:rsid w:val="00880853"/>
    <w:rsid w:val="008824A4"/>
    <w:rsid w:val="008829A5"/>
    <w:rsid w:val="00885E9C"/>
    <w:rsid w:val="00893813"/>
    <w:rsid w:val="008938A0"/>
    <w:rsid w:val="00893909"/>
    <w:rsid w:val="008971E0"/>
    <w:rsid w:val="008978E9"/>
    <w:rsid w:val="008A1A40"/>
    <w:rsid w:val="008A22D5"/>
    <w:rsid w:val="008A2DE8"/>
    <w:rsid w:val="008A79F9"/>
    <w:rsid w:val="008A7E33"/>
    <w:rsid w:val="008B0BB2"/>
    <w:rsid w:val="008B4B5B"/>
    <w:rsid w:val="008C2DAB"/>
    <w:rsid w:val="008C33E4"/>
    <w:rsid w:val="008C68CC"/>
    <w:rsid w:val="008D08C3"/>
    <w:rsid w:val="008D17CC"/>
    <w:rsid w:val="008D307B"/>
    <w:rsid w:val="008D4D73"/>
    <w:rsid w:val="008D5216"/>
    <w:rsid w:val="008D566F"/>
    <w:rsid w:val="008F06CC"/>
    <w:rsid w:val="008F11B0"/>
    <w:rsid w:val="008F1405"/>
    <w:rsid w:val="008F27C3"/>
    <w:rsid w:val="008F62C8"/>
    <w:rsid w:val="009003AA"/>
    <w:rsid w:val="00900855"/>
    <w:rsid w:val="00900C2F"/>
    <w:rsid w:val="009069CF"/>
    <w:rsid w:val="00910B7A"/>
    <w:rsid w:val="009126FA"/>
    <w:rsid w:val="0092207B"/>
    <w:rsid w:val="009226B2"/>
    <w:rsid w:val="00922E75"/>
    <w:rsid w:val="00923FF2"/>
    <w:rsid w:val="009243A3"/>
    <w:rsid w:val="0092616F"/>
    <w:rsid w:val="009270EC"/>
    <w:rsid w:val="009334AC"/>
    <w:rsid w:val="00935720"/>
    <w:rsid w:val="0093643D"/>
    <w:rsid w:val="00936556"/>
    <w:rsid w:val="00936D7D"/>
    <w:rsid w:val="00940E36"/>
    <w:rsid w:val="00942A54"/>
    <w:rsid w:val="00943B3A"/>
    <w:rsid w:val="009462B2"/>
    <w:rsid w:val="00946428"/>
    <w:rsid w:val="00950E17"/>
    <w:rsid w:val="009519AE"/>
    <w:rsid w:val="00952ABE"/>
    <w:rsid w:val="009544E9"/>
    <w:rsid w:val="0095705C"/>
    <w:rsid w:val="00957305"/>
    <w:rsid w:val="00960904"/>
    <w:rsid w:val="00961453"/>
    <w:rsid w:val="00961872"/>
    <w:rsid w:val="0096238A"/>
    <w:rsid w:val="00962611"/>
    <w:rsid w:val="009629F0"/>
    <w:rsid w:val="009639FF"/>
    <w:rsid w:val="009653F7"/>
    <w:rsid w:val="00965C48"/>
    <w:rsid w:val="009679A1"/>
    <w:rsid w:val="009718E8"/>
    <w:rsid w:val="0097248B"/>
    <w:rsid w:val="0097497C"/>
    <w:rsid w:val="0097709A"/>
    <w:rsid w:val="00977D27"/>
    <w:rsid w:val="00981736"/>
    <w:rsid w:val="00981FCE"/>
    <w:rsid w:val="0098379F"/>
    <w:rsid w:val="00987247"/>
    <w:rsid w:val="00987A80"/>
    <w:rsid w:val="00990106"/>
    <w:rsid w:val="00992990"/>
    <w:rsid w:val="00992B8D"/>
    <w:rsid w:val="00996347"/>
    <w:rsid w:val="009973AC"/>
    <w:rsid w:val="00997B7A"/>
    <w:rsid w:val="00997E03"/>
    <w:rsid w:val="009A0C65"/>
    <w:rsid w:val="009A752C"/>
    <w:rsid w:val="009B2605"/>
    <w:rsid w:val="009B3554"/>
    <w:rsid w:val="009B5B54"/>
    <w:rsid w:val="009C0B76"/>
    <w:rsid w:val="009C2915"/>
    <w:rsid w:val="009C2979"/>
    <w:rsid w:val="009C44D7"/>
    <w:rsid w:val="009C6441"/>
    <w:rsid w:val="009C6966"/>
    <w:rsid w:val="009D0757"/>
    <w:rsid w:val="009D1A53"/>
    <w:rsid w:val="009E2197"/>
    <w:rsid w:val="009E27C1"/>
    <w:rsid w:val="009E2C7C"/>
    <w:rsid w:val="009E37B2"/>
    <w:rsid w:val="009E5256"/>
    <w:rsid w:val="009E58BD"/>
    <w:rsid w:val="009E6533"/>
    <w:rsid w:val="009F134F"/>
    <w:rsid w:val="009F2605"/>
    <w:rsid w:val="009F2658"/>
    <w:rsid w:val="009F2912"/>
    <w:rsid w:val="009F2BE7"/>
    <w:rsid w:val="009F5141"/>
    <w:rsid w:val="009F7522"/>
    <w:rsid w:val="00A00C69"/>
    <w:rsid w:val="00A028EF"/>
    <w:rsid w:val="00A053C8"/>
    <w:rsid w:val="00A10FB4"/>
    <w:rsid w:val="00A153DA"/>
    <w:rsid w:val="00A16254"/>
    <w:rsid w:val="00A20435"/>
    <w:rsid w:val="00A21BD1"/>
    <w:rsid w:val="00A232C1"/>
    <w:rsid w:val="00A24166"/>
    <w:rsid w:val="00A26C13"/>
    <w:rsid w:val="00A27CA6"/>
    <w:rsid w:val="00A30BDF"/>
    <w:rsid w:val="00A30FCE"/>
    <w:rsid w:val="00A31C73"/>
    <w:rsid w:val="00A341C0"/>
    <w:rsid w:val="00A34D0A"/>
    <w:rsid w:val="00A40B5C"/>
    <w:rsid w:val="00A411D0"/>
    <w:rsid w:val="00A45872"/>
    <w:rsid w:val="00A47016"/>
    <w:rsid w:val="00A51FF1"/>
    <w:rsid w:val="00A528F6"/>
    <w:rsid w:val="00A546D7"/>
    <w:rsid w:val="00A56E76"/>
    <w:rsid w:val="00A60581"/>
    <w:rsid w:val="00A62B0F"/>
    <w:rsid w:val="00A6456E"/>
    <w:rsid w:val="00A6779C"/>
    <w:rsid w:val="00A712F4"/>
    <w:rsid w:val="00A74278"/>
    <w:rsid w:val="00A74743"/>
    <w:rsid w:val="00A80AE7"/>
    <w:rsid w:val="00A8380B"/>
    <w:rsid w:val="00A87279"/>
    <w:rsid w:val="00A87CF4"/>
    <w:rsid w:val="00A90389"/>
    <w:rsid w:val="00A90C4A"/>
    <w:rsid w:val="00A91367"/>
    <w:rsid w:val="00A93F70"/>
    <w:rsid w:val="00A962D2"/>
    <w:rsid w:val="00A963A5"/>
    <w:rsid w:val="00AA0699"/>
    <w:rsid w:val="00AA0F3F"/>
    <w:rsid w:val="00AA1731"/>
    <w:rsid w:val="00AA17EA"/>
    <w:rsid w:val="00AA1833"/>
    <w:rsid w:val="00AA3EDD"/>
    <w:rsid w:val="00AA45BB"/>
    <w:rsid w:val="00AB2C93"/>
    <w:rsid w:val="00AB438E"/>
    <w:rsid w:val="00AB5ED7"/>
    <w:rsid w:val="00AB69EC"/>
    <w:rsid w:val="00AB6E4A"/>
    <w:rsid w:val="00AB775D"/>
    <w:rsid w:val="00AC1416"/>
    <w:rsid w:val="00AC62A0"/>
    <w:rsid w:val="00AC65AF"/>
    <w:rsid w:val="00AC7D3B"/>
    <w:rsid w:val="00AE52C5"/>
    <w:rsid w:val="00AF08CD"/>
    <w:rsid w:val="00AF09EC"/>
    <w:rsid w:val="00AF0CC2"/>
    <w:rsid w:val="00AF15D8"/>
    <w:rsid w:val="00AF2392"/>
    <w:rsid w:val="00B01519"/>
    <w:rsid w:val="00B01745"/>
    <w:rsid w:val="00B01A68"/>
    <w:rsid w:val="00B01AD2"/>
    <w:rsid w:val="00B04EBB"/>
    <w:rsid w:val="00B11BAA"/>
    <w:rsid w:val="00B140EA"/>
    <w:rsid w:val="00B1684F"/>
    <w:rsid w:val="00B17429"/>
    <w:rsid w:val="00B177AC"/>
    <w:rsid w:val="00B20597"/>
    <w:rsid w:val="00B26014"/>
    <w:rsid w:val="00B263DA"/>
    <w:rsid w:val="00B267FC"/>
    <w:rsid w:val="00B26AF6"/>
    <w:rsid w:val="00B30934"/>
    <w:rsid w:val="00B33555"/>
    <w:rsid w:val="00B336EE"/>
    <w:rsid w:val="00B34564"/>
    <w:rsid w:val="00B349A4"/>
    <w:rsid w:val="00B3626A"/>
    <w:rsid w:val="00B3736B"/>
    <w:rsid w:val="00B3768E"/>
    <w:rsid w:val="00B415D5"/>
    <w:rsid w:val="00B41F84"/>
    <w:rsid w:val="00B46CE2"/>
    <w:rsid w:val="00B46E76"/>
    <w:rsid w:val="00B50168"/>
    <w:rsid w:val="00B5368F"/>
    <w:rsid w:val="00B53822"/>
    <w:rsid w:val="00B63470"/>
    <w:rsid w:val="00B6387C"/>
    <w:rsid w:val="00B63D6B"/>
    <w:rsid w:val="00B65419"/>
    <w:rsid w:val="00B6607E"/>
    <w:rsid w:val="00B6621B"/>
    <w:rsid w:val="00B67341"/>
    <w:rsid w:val="00B70D5D"/>
    <w:rsid w:val="00B723E7"/>
    <w:rsid w:val="00B74C52"/>
    <w:rsid w:val="00B7649C"/>
    <w:rsid w:val="00B7755A"/>
    <w:rsid w:val="00B806F0"/>
    <w:rsid w:val="00B83367"/>
    <w:rsid w:val="00B83F73"/>
    <w:rsid w:val="00B84EC9"/>
    <w:rsid w:val="00B8756E"/>
    <w:rsid w:val="00B87BD5"/>
    <w:rsid w:val="00B87D94"/>
    <w:rsid w:val="00B92574"/>
    <w:rsid w:val="00B950D5"/>
    <w:rsid w:val="00B96A48"/>
    <w:rsid w:val="00B97715"/>
    <w:rsid w:val="00BA02FC"/>
    <w:rsid w:val="00BA18A4"/>
    <w:rsid w:val="00BA3122"/>
    <w:rsid w:val="00BA5F04"/>
    <w:rsid w:val="00BB1B20"/>
    <w:rsid w:val="00BB21CD"/>
    <w:rsid w:val="00BB3E27"/>
    <w:rsid w:val="00BB56EB"/>
    <w:rsid w:val="00BB655C"/>
    <w:rsid w:val="00BB79D6"/>
    <w:rsid w:val="00BC1DB6"/>
    <w:rsid w:val="00BC2C02"/>
    <w:rsid w:val="00BC63A5"/>
    <w:rsid w:val="00BC7EF6"/>
    <w:rsid w:val="00BD1673"/>
    <w:rsid w:val="00BD7834"/>
    <w:rsid w:val="00BD7F7E"/>
    <w:rsid w:val="00BE00BB"/>
    <w:rsid w:val="00BE0599"/>
    <w:rsid w:val="00BE1EAD"/>
    <w:rsid w:val="00BE38E1"/>
    <w:rsid w:val="00BE4F93"/>
    <w:rsid w:val="00BE7A8D"/>
    <w:rsid w:val="00BF21FC"/>
    <w:rsid w:val="00BF71A2"/>
    <w:rsid w:val="00C00A55"/>
    <w:rsid w:val="00C02682"/>
    <w:rsid w:val="00C02A94"/>
    <w:rsid w:val="00C030C2"/>
    <w:rsid w:val="00C04408"/>
    <w:rsid w:val="00C11455"/>
    <w:rsid w:val="00C114A4"/>
    <w:rsid w:val="00C142FC"/>
    <w:rsid w:val="00C14A90"/>
    <w:rsid w:val="00C151B9"/>
    <w:rsid w:val="00C15B0E"/>
    <w:rsid w:val="00C22427"/>
    <w:rsid w:val="00C229BA"/>
    <w:rsid w:val="00C25253"/>
    <w:rsid w:val="00C2588B"/>
    <w:rsid w:val="00C26C37"/>
    <w:rsid w:val="00C3145E"/>
    <w:rsid w:val="00C337F2"/>
    <w:rsid w:val="00C35FDF"/>
    <w:rsid w:val="00C36C1D"/>
    <w:rsid w:val="00C37578"/>
    <w:rsid w:val="00C37C7F"/>
    <w:rsid w:val="00C37E81"/>
    <w:rsid w:val="00C4038A"/>
    <w:rsid w:val="00C429A0"/>
    <w:rsid w:val="00C42EAE"/>
    <w:rsid w:val="00C44941"/>
    <w:rsid w:val="00C45024"/>
    <w:rsid w:val="00C51734"/>
    <w:rsid w:val="00C51AFF"/>
    <w:rsid w:val="00C539D1"/>
    <w:rsid w:val="00C54FCC"/>
    <w:rsid w:val="00C55E44"/>
    <w:rsid w:val="00C55EFC"/>
    <w:rsid w:val="00C560B0"/>
    <w:rsid w:val="00C61184"/>
    <w:rsid w:val="00C615EE"/>
    <w:rsid w:val="00C634FB"/>
    <w:rsid w:val="00C6463B"/>
    <w:rsid w:val="00C65102"/>
    <w:rsid w:val="00C65F14"/>
    <w:rsid w:val="00C7165D"/>
    <w:rsid w:val="00C726DE"/>
    <w:rsid w:val="00C728ED"/>
    <w:rsid w:val="00C7471B"/>
    <w:rsid w:val="00C77681"/>
    <w:rsid w:val="00C80B75"/>
    <w:rsid w:val="00C852A3"/>
    <w:rsid w:val="00C859DF"/>
    <w:rsid w:val="00C85C54"/>
    <w:rsid w:val="00C86360"/>
    <w:rsid w:val="00C8711D"/>
    <w:rsid w:val="00C877C6"/>
    <w:rsid w:val="00C879F8"/>
    <w:rsid w:val="00C9231F"/>
    <w:rsid w:val="00C92E14"/>
    <w:rsid w:val="00C94B3E"/>
    <w:rsid w:val="00C94B41"/>
    <w:rsid w:val="00C9576C"/>
    <w:rsid w:val="00CA364B"/>
    <w:rsid w:val="00CA68D2"/>
    <w:rsid w:val="00CB2ABB"/>
    <w:rsid w:val="00CB3402"/>
    <w:rsid w:val="00CB4120"/>
    <w:rsid w:val="00CB4AEF"/>
    <w:rsid w:val="00CB70E6"/>
    <w:rsid w:val="00CB7B33"/>
    <w:rsid w:val="00CC0C87"/>
    <w:rsid w:val="00CC1228"/>
    <w:rsid w:val="00CC18CC"/>
    <w:rsid w:val="00CC251D"/>
    <w:rsid w:val="00CC3384"/>
    <w:rsid w:val="00CC4BE8"/>
    <w:rsid w:val="00CC5B89"/>
    <w:rsid w:val="00CC7E61"/>
    <w:rsid w:val="00CD3DB2"/>
    <w:rsid w:val="00CD3E19"/>
    <w:rsid w:val="00CD4807"/>
    <w:rsid w:val="00CD5A3A"/>
    <w:rsid w:val="00CE10EA"/>
    <w:rsid w:val="00CE12F1"/>
    <w:rsid w:val="00CE1E99"/>
    <w:rsid w:val="00CE37BF"/>
    <w:rsid w:val="00CE3DC2"/>
    <w:rsid w:val="00CE53BC"/>
    <w:rsid w:val="00CE6EE9"/>
    <w:rsid w:val="00CF2203"/>
    <w:rsid w:val="00CF4225"/>
    <w:rsid w:val="00CF7D40"/>
    <w:rsid w:val="00D063BF"/>
    <w:rsid w:val="00D07963"/>
    <w:rsid w:val="00D10255"/>
    <w:rsid w:val="00D11278"/>
    <w:rsid w:val="00D1487D"/>
    <w:rsid w:val="00D14C0B"/>
    <w:rsid w:val="00D15A99"/>
    <w:rsid w:val="00D2063C"/>
    <w:rsid w:val="00D20B3A"/>
    <w:rsid w:val="00D23E75"/>
    <w:rsid w:val="00D25EE1"/>
    <w:rsid w:val="00D2693B"/>
    <w:rsid w:val="00D302F6"/>
    <w:rsid w:val="00D3552D"/>
    <w:rsid w:val="00D37C41"/>
    <w:rsid w:val="00D37D33"/>
    <w:rsid w:val="00D427A0"/>
    <w:rsid w:val="00D443DE"/>
    <w:rsid w:val="00D443F4"/>
    <w:rsid w:val="00D46E33"/>
    <w:rsid w:val="00D47633"/>
    <w:rsid w:val="00D5156E"/>
    <w:rsid w:val="00D534DC"/>
    <w:rsid w:val="00D54A46"/>
    <w:rsid w:val="00D54B33"/>
    <w:rsid w:val="00D55165"/>
    <w:rsid w:val="00D5599B"/>
    <w:rsid w:val="00D61498"/>
    <w:rsid w:val="00D61AC3"/>
    <w:rsid w:val="00D61DB9"/>
    <w:rsid w:val="00D63334"/>
    <w:rsid w:val="00D64E1E"/>
    <w:rsid w:val="00D654BB"/>
    <w:rsid w:val="00D65745"/>
    <w:rsid w:val="00D66E02"/>
    <w:rsid w:val="00D70031"/>
    <w:rsid w:val="00D745AD"/>
    <w:rsid w:val="00D7481D"/>
    <w:rsid w:val="00D76B06"/>
    <w:rsid w:val="00D831C9"/>
    <w:rsid w:val="00D8553F"/>
    <w:rsid w:val="00D865C0"/>
    <w:rsid w:val="00DA3B19"/>
    <w:rsid w:val="00DB15AD"/>
    <w:rsid w:val="00DB400D"/>
    <w:rsid w:val="00DB594D"/>
    <w:rsid w:val="00DB5A04"/>
    <w:rsid w:val="00DC1452"/>
    <w:rsid w:val="00DC235F"/>
    <w:rsid w:val="00DC65FF"/>
    <w:rsid w:val="00DC69F2"/>
    <w:rsid w:val="00DC6ACA"/>
    <w:rsid w:val="00DC73F6"/>
    <w:rsid w:val="00DC7A6F"/>
    <w:rsid w:val="00DD1AAA"/>
    <w:rsid w:val="00DD30B3"/>
    <w:rsid w:val="00DD35FA"/>
    <w:rsid w:val="00DD4A40"/>
    <w:rsid w:val="00DE0761"/>
    <w:rsid w:val="00DE21CC"/>
    <w:rsid w:val="00DE3974"/>
    <w:rsid w:val="00DF016A"/>
    <w:rsid w:val="00DF3435"/>
    <w:rsid w:val="00E00ADE"/>
    <w:rsid w:val="00E01719"/>
    <w:rsid w:val="00E01B3A"/>
    <w:rsid w:val="00E02F9F"/>
    <w:rsid w:val="00E03012"/>
    <w:rsid w:val="00E032F0"/>
    <w:rsid w:val="00E03BC8"/>
    <w:rsid w:val="00E07845"/>
    <w:rsid w:val="00E11600"/>
    <w:rsid w:val="00E166BA"/>
    <w:rsid w:val="00E167BE"/>
    <w:rsid w:val="00E172CA"/>
    <w:rsid w:val="00E17B05"/>
    <w:rsid w:val="00E17D92"/>
    <w:rsid w:val="00E20FFF"/>
    <w:rsid w:val="00E23506"/>
    <w:rsid w:val="00E30AA3"/>
    <w:rsid w:val="00E35AA4"/>
    <w:rsid w:val="00E51DFA"/>
    <w:rsid w:val="00E52C5C"/>
    <w:rsid w:val="00E602CD"/>
    <w:rsid w:val="00E70114"/>
    <w:rsid w:val="00E704CD"/>
    <w:rsid w:val="00E70670"/>
    <w:rsid w:val="00E70948"/>
    <w:rsid w:val="00E70A07"/>
    <w:rsid w:val="00E70D67"/>
    <w:rsid w:val="00E7555C"/>
    <w:rsid w:val="00E75EA0"/>
    <w:rsid w:val="00E7654F"/>
    <w:rsid w:val="00E800AD"/>
    <w:rsid w:val="00E811FD"/>
    <w:rsid w:val="00E81753"/>
    <w:rsid w:val="00E81A04"/>
    <w:rsid w:val="00E8284A"/>
    <w:rsid w:val="00E90254"/>
    <w:rsid w:val="00E910C4"/>
    <w:rsid w:val="00E91757"/>
    <w:rsid w:val="00E932BE"/>
    <w:rsid w:val="00E93AC4"/>
    <w:rsid w:val="00E94A35"/>
    <w:rsid w:val="00EA6828"/>
    <w:rsid w:val="00EB19D9"/>
    <w:rsid w:val="00EB3173"/>
    <w:rsid w:val="00EB480E"/>
    <w:rsid w:val="00EC18EA"/>
    <w:rsid w:val="00EC30B2"/>
    <w:rsid w:val="00EC700F"/>
    <w:rsid w:val="00EC7611"/>
    <w:rsid w:val="00ED0B57"/>
    <w:rsid w:val="00ED0CBA"/>
    <w:rsid w:val="00ED1E95"/>
    <w:rsid w:val="00ED20EA"/>
    <w:rsid w:val="00ED25AE"/>
    <w:rsid w:val="00ED3B5F"/>
    <w:rsid w:val="00ED5A29"/>
    <w:rsid w:val="00ED66C3"/>
    <w:rsid w:val="00EE1D4A"/>
    <w:rsid w:val="00EE3A5F"/>
    <w:rsid w:val="00EE5309"/>
    <w:rsid w:val="00EE6400"/>
    <w:rsid w:val="00EF295D"/>
    <w:rsid w:val="00EF5C61"/>
    <w:rsid w:val="00EF71E4"/>
    <w:rsid w:val="00EF76D7"/>
    <w:rsid w:val="00EF7707"/>
    <w:rsid w:val="00F0241F"/>
    <w:rsid w:val="00F034D1"/>
    <w:rsid w:val="00F04220"/>
    <w:rsid w:val="00F04F60"/>
    <w:rsid w:val="00F0602C"/>
    <w:rsid w:val="00F077FE"/>
    <w:rsid w:val="00F11B6C"/>
    <w:rsid w:val="00F120AB"/>
    <w:rsid w:val="00F132EC"/>
    <w:rsid w:val="00F16926"/>
    <w:rsid w:val="00F17327"/>
    <w:rsid w:val="00F20E9B"/>
    <w:rsid w:val="00F27ABD"/>
    <w:rsid w:val="00F334E4"/>
    <w:rsid w:val="00F362BD"/>
    <w:rsid w:val="00F41B64"/>
    <w:rsid w:val="00F445DC"/>
    <w:rsid w:val="00F4634F"/>
    <w:rsid w:val="00F50E64"/>
    <w:rsid w:val="00F54812"/>
    <w:rsid w:val="00F5636A"/>
    <w:rsid w:val="00F66355"/>
    <w:rsid w:val="00F67CF9"/>
    <w:rsid w:val="00F67F16"/>
    <w:rsid w:val="00F73169"/>
    <w:rsid w:val="00F774FC"/>
    <w:rsid w:val="00F8041B"/>
    <w:rsid w:val="00F84467"/>
    <w:rsid w:val="00F85823"/>
    <w:rsid w:val="00F85B9A"/>
    <w:rsid w:val="00F90A76"/>
    <w:rsid w:val="00F927A8"/>
    <w:rsid w:val="00F927CF"/>
    <w:rsid w:val="00FA2D88"/>
    <w:rsid w:val="00FA2E6A"/>
    <w:rsid w:val="00FA3FDF"/>
    <w:rsid w:val="00FA51DC"/>
    <w:rsid w:val="00FA52F5"/>
    <w:rsid w:val="00FA639A"/>
    <w:rsid w:val="00FB1834"/>
    <w:rsid w:val="00FB2D73"/>
    <w:rsid w:val="00FB59EA"/>
    <w:rsid w:val="00FC1752"/>
    <w:rsid w:val="00FC3379"/>
    <w:rsid w:val="00FC5D7C"/>
    <w:rsid w:val="00FD30C7"/>
    <w:rsid w:val="00FD64A1"/>
    <w:rsid w:val="00FE3587"/>
    <w:rsid w:val="00FE4FC3"/>
    <w:rsid w:val="00FE56AA"/>
    <w:rsid w:val="00FE5E1E"/>
    <w:rsid w:val="00FE78D2"/>
    <w:rsid w:val="00FF10CB"/>
    <w:rsid w:val="00FF174C"/>
    <w:rsid w:val="00FF32F6"/>
    <w:rsid w:val="00FF60B8"/>
    <w:rsid w:val="00FF6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325A7"/>
  <w15:chartTrackingRefBased/>
  <w15:docId w15:val="{74522ECC-069D-41F8-88E1-3926EECB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next w:val="Normal"/>
    <w:link w:val="Naslov1Char"/>
    <w:uiPriority w:val="9"/>
    <w:qFormat/>
    <w:rsid w:val="00C923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C92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opsomming 1,2,3 *-,Heading 11,3 *- Char Char,Table of contents numbered,Paragraph,Paragraphe de liste PBLH,Graph &amp; Table tite,Normal bullet 2,Bullet list,Figure_name,Equipment,Numbered Indented Text,List Paragraph1,lp1,Graf"/>
    <w:basedOn w:val="Normal"/>
    <w:link w:val="OdlomakpopisaChar"/>
    <w:uiPriority w:val="34"/>
    <w:qFormat/>
    <w:rsid w:val="00B336EE"/>
    <w:pPr>
      <w:ind w:left="720"/>
      <w:contextualSpacing/>
    </w:pPr>
  </w:style>
  <w:style w:type="paragraph" w:styleId="Tekstbalonia">
    <w:name w:val="Balloon Text"/>
    <w:basedOn w:val="Normal"/>
    <w:link w:val="TekstbaloniaChar"/>
    <w:uiPriority w:val="99"/>
    <w:semiHidden/>
    <w:unhideWhenUsed/>
    <w:rsid w:val="00A028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28EF"/>
    <w:rPr>
      <w:rFonts w:ascii="Segoe UI" w:hAnsi="Segoe UI" w:cs="Segoe UI"/>
      <w:sz w:val="18"/>
      <w:szCs w:val="18"/>
    </w:rPr>
  </w:style>
  <w:style w:type="paragraph" w:styleId="Zaglavlje">
    <w:name w:val="header"/>
    <w:basedOn w:val="Normal"/>
    <w:link w:val="ZaglavljeChar"/>
    <w:uiPriority w:val="99"/>
    <w:unhideWhenUsed/>
    <w:rsid w:val="00BB56EB"/>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BB56EB"/>
  </w:style>
  <w:style w:type="paragraph" w:styleId="Podnoje">
    <w:name w:val="footer"/>
    <w:basedOn w:val="Normal"/>
    <w:link w:val="PodnojeChar"/>
    <w:uiPriority w:val="99"/>
    <w:unhideWhenUsed/>
    <w:rsid w:val="00BB56EB"/>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BB56EB"/>
  </w:style>
  <w:style w:type="paragraph" w:styleId="StandardWeb">
    <w:name w:val="Normal (Web)"/>
    <w:basedOn w:val="Normal"/>
    <w:uiPriority w:val="99"/>
    <w:unhideWhenUsed/>
    <w:rsid w:val="00D2693B"/>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D2693B"/>
    <w:rPr>
      <w:color w:val="0000FF"/>
      <w:u w:val="single"/>
    </w:rPr>
  </w:style>
  <w:style w:type="table" w:styleId="Reetkatablice">
    <w:name w:val="Table Grid"/>
    <w:basedOn w:val="Obinatablica"/>
    <w:uiPriority w:val="39"/>
    <w:rsid w:val="00D2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2693B"/>
    <w:rPr>
      <w:sz w:val="16"/>
      <w:szCs w:val="16"/>
    </w:rPr>
  </w:style>
  <w:style w:type="paragraph" w:styleId="Tekstkomentara">
    <w:name w:val="annotation text"/>
    <w:basedOn w:val="Normal"/>
    <w:link w:val="TekstkomentaraChar"/>
    <w:uiPriority w:val="99"/>
    <w:unhideWhenUsed/>
    <w:qFormat/>
    <w:rsid w:val="00D2693B"/>
    <w:pPr>
      <w:spacing w:line="240" w:lineRule="auto"/>
    </w:pPr>
    <w:rPr>
      <w:sz w:val="20"/>
      <w:szCs w:val="20"/>
    </w:rPr>
  </w:style>
  <w:style w:type="character" w:customStyle="1" w:styleId="TekstkomentaraChar">
    <w:name w:val="Tekst komentara Char"/>
    <w:basedOn w:val="Zadanifontodlomka"/>
    <w:link w:val="Tekstkomentara"/>
    <w:uiPriority w:val="99"/>
    <w:qFormat/>
    <w:rsid w:val="00D2693B"/>
    <w:rPr>
      <w:sz w:val="20"/>
      <w:szCs w:val="20"/>
      <w:lang w:val="hr-HR"/>
    </w:rPr>
  </w:style>
  <w:style w:type="paragraph" w:customStyle="1" w:styleId="box460819">
    <w:name w:val="box_460819"/>
    <w:basedOn w:val="Normal"/>
    <w:rsid w:val="00296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lomakpopisaChar">
    <w:name w:val="Odlomak popisa Char"/>
    <w:aliases w:val="heading 1 Char,opsomming 1 Char,2 Char,3 *- Char,Heading 11 Char,3 *- Char Char Char,Table of contents numbered Char,Paragraph Char,Paragraphe de liste PBLH Char,Graph &amp; Table tite Char,Normal bullet 2 Char,Bullet list Char,lp1 Char"/>
    <w:link w:val="Odlomakpopisa"/>
    <w:uiPriority w:val="34"/>
    <w:qFormat/>
    <w:locked/>
    <w:rsid w:val="00296A4F"/>
  </w:style>
  <w:style w:type="paragraph" w:styleId="Bezproreda">
    <w:name w:val="No Spacing"/>
    <w:link w:val="BezproredaChar"/>
    <w:uiPriority w:val="1"/>
    <w:qFormat/>
    <w:rsid w:val="00296A4F"/>
    <w:pPr>
      <w:spacing w:after="0" w:line="240" w:lineRule="auto"/>
    </w:pPr>
    <w:rPr>
      <w:rFonts w:ascii="Calibri" w:eastAsia="Calibri" w:hAnsi="Calibri" w:cs="Times New Roman"/>
    </w:rPr>
  </w:style>
  <w:style w:type="character" w:customStyle="1" w:styleId="BezproredaChar">
    <w:name w:val="Bez proreda Char"/>
    <w:link w:val="Bezproreda"/>
    <w:uiPriority w:val="1"/>
    <w:rsid w:val="00296A4F"/>
    <w:rPr>
      <w:rFonts w:ascii="Calibri" w:eastAsia="Calibri" w:hAnsi="Calibri" w:cs="Times New Roman"/>
    </w:rPr>
  </w:style>
  <w:style w:type="paragraph" w:styleId="Tijeloteksta">
    <w:name w:val="Body Text"/>
    <w:basedOn w:val="Normal"/>
    <w:link w:val="TijelotekstaChar"/>
    <w:uiPriority w:val="99"/>
    <w:unhideWhenUsed/>
    <w:rsid w:val="00296A4F"/>
    <w:pPr>
      <w:spacing w:after="200" w:line="276" w:lineRule="auto"/>
    </w:pPr>
    <w:rPr>
      <w:rFonts w:ascii="Calibri" w:eastAsia="Calibri" w:hAnsi="Calibri" w:cs="Times New Roman"/>
      <w:sz w:val="20"/>
      <w:szCs w:val="20"/>
    </w:rPr>
  </w:style>
  <w:style w:type="character" w:customStyle="1" w:styleId="TijelotekstaChar">
    <w:name w:val="Tijelo teksta Char"/>
    <w:basedOn w:val="Zadanifontodlomka"/>
    <w:link w:val="Tijeloteksta"/>
    <w:uiPriority w:val="99"/>
    <w:rsid w:val="00296A4F"/>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424321"/>
    <w:rPr>
      <w:b/>
      <w:bCs/>
      <w:lang w:val="en-US"/>
    </w:rPr>
  </w:style>
  <w:style w:type="character" w:customStyle="1" w:styleId="PredmetkomentaraChar">
    <w:name w:val="Predmet komentara Char"/>
    <w:basedOn w:val="TekstkomentaraChar"/>
    <w:link w:val="Predmetkomentara"/>
    <w:uiPriority w:val="99"/>
    <w:semiHidden/>
    <w:rsid w:val="00424321"/>
    <w:rPr>
      <w:b/>
      <w:bCs/>
      <w:sz w:val="20"/>
      <w:szCs w:val="20"/>
      <w:lang w:val="hr-HR"/>
    </w:rPr>
  </w:style>
  <w:style w:type="paragraph" w:styleId="Revizija">
    <w:name w:val="Revision"/>
    <w:hidden/>
    <w:uiPriority w:val="99"/>
    <w:semiHidden/>
    <w:rsid w:val="00012232"/>
    <w:pPr>
      <w:spacing w:after="0" w:line="240" w:lineRule="auto"/>
    </w:pPr>
  </w:style>
  <w:style w:type="paragraph" w:styleId="Tekstfusnote">
    <w:name w:val="footnote text"/>
    <w:basedOn w:val="Normal"/>
    <w:link w:val="TekstfusnoteChar"/>
    <w:uiPriority w:val="99"/>
    <w:semiHidden/>
    <w:unhideWhenUsed/>
    <w:rsid w:val="00B04EBB"/>
    <w:pPr>
      <w:spacing w:after="0" w:line="240" w:lineRule="auto"/>
    </w:pPr>
    <w:rPr>
      <w:sz w:val="20"/>
      <w:szCs w:val="20"/>
    </w:rPr>
  </w:style>
  <w:style w:type="character" w:customStyle="1" w:styleId="TekstfusnoteChar">
    <w:name w:val="Tekst fusnote Char"/>
    <w:basedOn w:val="Zadanifontodlomka"/>
    <w:link w:val="Tekstfusnote"/>
    <w:uiPriority w:val="99"/>
    <w:qFormat/>
    <w:rsid w:val="00B04EBB"/>
    <w:rPr>
      <w:sz w:val="20"/>
      <w:szCs w:val="20"/>
      <w:lang w:val="hr-HR"/>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link w:val="SUPERSChar"/>
    <w:uiPriority w:val="99"/>
    <w:unhideWhenUsed/>
    <w:qFormat/>
    <w:rsid w:val="00B04EBB"/>
    <w:rPr>
      <w:vertAlign w:val="superscript"/>
    </w:rPr>
  </w:style>
  <w:style w:type="paragraph" w:styleId="z-vrhobrasca">
    <w:name w:val="HTML Top of Form"/>
    <w:basedOn w:val="Normal"/>
    <w:next w:val="Normal"/>
    <w:link w:val="z-vrhobrascaChar"/>
    <w:hidden/>
    <w:uiPriority w:val="99"/>
    <w:semiHidden/>
    <w:unhideWhenUsed/>
    <w:rsid w:val="00CD3DB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vrhobrascaChar">
    <w:name w:val="z-vrh obrasca Char"/>
    <w:basedOn w:val="Zadanifontodlomka"/>
    <w:link w:val="z-vrhobrasca"/>
    <w:uiPriority w:val="99"/>
    <w:semiHidden/>
    <w:rsid w:val="00CD3DB2"/>
    <w:rPr>
      <w:rFonts w:ascii="Arial" w:eastAsia="Times New Roman" w:hAnsi="Arial" w:cs="Arial"/>
      <w:vanish/>
      <w:sz w:val="16"/>
      <w:szCs w:val="16"/>
    </w:rPr>
  </w:style>
  <w:style w:type="paragraph" w:styleId="z-dnoobrasca">
    <w:name w:val="HTML Bottom of Form"/>
    <w:basedOn w:val="Normal"/>
    <w:next w:val="Normal"/>
    <w:link w:val="z-dnoobrascaChar"/>
    <w:hidden/>
    <w:uiPriority w:val="99"/>
    <w:semiHidden/>
    <w:unhideWhenUsed/>
    <w:rsid w:val="00CD3DB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dnoobrascaChar">
    <w:name w:val="z-dno obrasca Char"/>
    <w:basedOn w:val="Zadanifontodlomka"/>
    <w:link w:val="z-dnoobrasca"/>
    <w:uiPriority w:val="99"/>
    <w:semiHidden/>
    <w:rsid w:val="00CD3DB2"/>
    <w:rPr>
      <w:rFonts w:ascii="Arial" w:eastAsia="Times New Roman" w:hAnsi="Arial" w:cs="Arial"/>
      <w:vanish/>
      <w:sz w:val="16"/>
      <w:szCs w:val="16"/>
    </w:rPr>
  </w:style>
  <w:style w:type="table" w:styleId="Svijetlatablicareetke-isticanje1">
    <w:name w:val="Grid Table 1 Light Accent 1"/>
    <w:basedOn w:val="Obinatablica"/>
    <w:uiPriority w:val="46"/>
    <w:rsid w:val="00D23E75"/>
    <w:pPr>
      <w:spacing w:after="0" w:line="240" w:lineRule="auto"/>
    </w:pPr>
    <w:rPr>
      <w:lang w:val="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Naglaeno">
    <w:name w:val="Strong"/>
    <w:basedOn w:val="Zadanifontodlomka"/>
    <w:uiPriority w:val="22"/>
    <w:qFormat/>
    <w:rsid w:val="000210FF"/>
    <w:rPr>
      <w:b/>
      <w:bCs/>
    </w:rPr>
  </w:style>
  <w:style w:type="paragraph" w:styleId="Bibliografija">
    <w:name w:val="Bibliography"/>
    <w:basedOn w:val="Normal"/>
    <w:next w:val="Normal"/>
    <w:uiPriority w:val="37"/>
    <w:semiHidden/>
    <w:unhideWhenUsed/>
    <w:rsid w:val="002E41B9"/>
  </w:style>
  <w:style w:type="paragraph" w:styleId="Naslov">
    <w:name w:val="Title"/>
    <w:basedOn w:val="Normal"/>
    <w:next w:val="Normal"/>
    <w:link w:val="NaslovChar"/>
    <w:uiPriority w:val="10"/>
    <w:qFormat/>
    <w:rsid w:val="00D614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61498"/>
    <w:rPr>
      <w:rFonts w:asciiTheme="majorHAnsi" w:eastAsiaTheme="majorEastAsia" w:hAnsiTheme="majorHAnsi" w:cstheme="majorBidi"/>
      <w:spacing w:val="-10"/>
      <w:kern w:val="28"/>
      <w:sz w:val="56"/>
      <w:szCs w:val="56"/>
      <w:lang w:val="hr-HR"/>
    </w:rPr>
  </w:style>
  <w:style w:type="character" w:customStyle="1" w:styleId="UnresolvedMention1">
    <w:name w:val="Unresolved Mention1"/>
    <w:basedOn w:val="Zadanifontodlomka"/>
    <w:uiPriority w:val="99"/>
    <w:semiHidden/>
    <w:unhideWhenUsed/>
    <w:rsid w:val="0026013C"/>
    <w:rPr>
      <w:color w:val="605E5C"/>
      <w:shd w:val="clear" w:color="auto" w:fill="E1DFDD"/>
    </w:rPr>
  </w:style>
  <w:style w:type="table" w:customStyle="1" w:styleId="TableGrid3">
    <w:name w:val="Table Grid3"/>
    <w:basedOn w:val="Obinatablica"/>
    <w:next w:val="Reetkatablice"/>
    <w:uiPriority w:val="39"/>
    <w:rsid w:val="00685F5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8C33E4"/>
  </w:style>
  <w:style w:type="paragraph" w:customStyle="1" w:styleId="Standard">
    <w:name w:val="Standard"/>
    <w:rsid w:val="008C33E4"/>
    <w:pPr>
      <w:suppressAutoHyphens/>
      <w:autoSpaceDN w:val="0"/>
      <w:spacing w:after="0" w:line="240" w:lineRule="auto"/>
      <w:textAlignment w:val="baseline"/>
    </w:pPr>
    <w:rPr>
      <w:rFonts w:ascii="CNFIAD+TimesNewRoman" w:eastAsia="Calibri" w:hAnsi="CNFIAD+TimesNewRoman" w:cs="CNFIAD+TimesNewRoman"/>
      <w:color w:val="000000"/>
      <w:kern w:val="3"/>
      <w:sz w:val="24"/>
      <w:szCs w:val="24"/>
    </w:rPr>
  </w:style>
  <w:style w:type="paragraph" w:customStyle="1" w:styleId="SUPERSChar">
    <w:name w:val="SUPERS Char"/>
    <w:aliases w:val="EN Footnote Reference Char"/>
    <w:basedOn w:val="Normal"/>
    <w:link w:val="Referencafusnote"/>
    <w:uiPriority w:val="99"/>
    <w:rsid w:val="008C33E4"/>
    <w:pPr>
      <w:spacing w:line="240" w:lineRule="exact"/>
    </w:pPr>
    <w:rPr>
      <w:vertAlign w:val="superscript"/>
      <w:lang w:val="en-US"/>
    </w:rPr>
  </w:style>
  <w:style w:type="paragraph" w:customStyle="1" w:styleId="box466726">
    <w:name w:val="box_466726"/>
    <w:basedOn w:val="Normal"/>
    <w:rsid w:val="008C33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n1">
    <w:name w:val="fn1"/>
    <w:basedOn w:val="Normal"/>
    <w:next w:val="Tekstfusnote"/>
    <w:uiPriority w:val="99"/>
    <w:unhideWhenUsed/>
    <w:qFormat/>
    <w:rsid w:val="0024183A"/>
    <w:pPr>
      <w:spacing w:after="0" w:line="240" w:lineRule="auto"/>
    </w:pPr>
    <w:rPr>
      <w:rFonts w:ascii="Calibri" w:hAnsi="Calibri" w:cs="Calibri"/>
      <w:kern w:val="2"/>
      <w:sz w:val="24"/>
      <w:szCs w:val="20"/>
      <w14:ligatures w14:val="standardContextual"/>
    </w:rPr>
  </w:style>
  <w:style w:type="character" w:customStyle="1" w:styleId="FootnoteTextChar1">
    <w:name w:val="Footnote Text Char1"/>
    <w:basedOn w:val="Zadanifontodlomka"/>
    <w:uiPriority w:val="99"/>
    <w:semiHidden/>
    <w:rsid w:val="00981736"/>
    <w:rPr>
      <w:rFonts w:ascii="Cambria" w:hAnsi="Cambria"/>
      <w:kern w:val="2"/>
      <w:sz w:val="20"/>
      <w:szCs w:val="20"/>
      <w14:ligatures w14:val="standardContextual"/>
    </w:rPr>
  </w:style>
  <w:style w:type="table" w:customStyle="1" w:styleId="Kadertabel1">
    <w:name w:val="Kadertabel1"/>
    <w:basedOn w:val="Obinatablica"/>
    <w:next w:val="Reetkatablice"/>
    <w:uiPriority w:val="59"/>
    <w:rsid w:val="005D5A0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C9231F"/>
    <w:rPr>
      <w:rFonts w:asciiTheme="majorHAnsi" w:eastAsiaTheme="majorEastAsia" w:hAnsiTheme="majorHAnsi" w:cstheme="majorBidi"/>
      <w:color w:val="2E74B5" w:themeColor="accent1" w:themeShade="BF"/>
      <w:sz w:val="32"/>
      <w:szCs w:val="32"/>
      <w:lang w:val="hr-HR"/>
    </w:rPr>
  </w:style>
  <w:style w:type="character" w:customStyle="1" w:styleId="Naslov2Char">
    <w:name w:val="Naslov 2 Char"/>
    <w:basedOn w:val="Zadanifontodlomka"/>
    <w:link w:val="Naslov2"/>
    <w:uiPriority w:val="9"/>
    <w:rsid w:val="00C9231F"/>
    <w:rPr>
      <w:rFonts w:asciiTheme="majorHAnsi" w:eastAsiaTheme="majorEastAsia" w:hAnsiTheme="majorHAnsi" w:cstheme="majorBidi"/>
      <w:color w:val="2E74B5"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7137">
      <w:bodyDiv w:val="1"/>
      <w:marLeft w:val="0"/>
      <w:marRight w:val="0"/>
      <w:marTop w:val="0"/>
      <w:marBottom w:val="0"/>
      <w:divBdr>
        <w:top w:val="none" w:sz="0" w:space="0" w:color="auto"/>
        <w:left w:val="none" w:sz="0" w:space="0" w:color="auto"/>
        <w:bottom w:val="none" w:sz="0" w:space="0" w:color="auto"/>
        <w:right w:val="none" w:sz="0" w:space="0" w:color="auto"/>
      </w:divBdr>
      <w:divsChild>
        <w:div w:id="1508641974">
          <w:marLeft w:val="0"/>
          <w:marRight w:val="0"/>
          <w:marTop w:val="0"/>
          <w:marBottom w:val="0"/>
          <w:divBdr>
            <w:top w:val="none" w:sz="0" w:space="0" w:color="auto"/>
            <w:left w:val="none" w:sz="0" w:space="0" w:color="auto"/>
            <w:bottom w:val="none" w:sz="0" w:space="0" w:color="auto"/>
            <w:right w:val="none" w:sz="0" w:space="0" w:color="auto"/>
          </w:divBdr>
          <w:divsChild>
            <w:div w:id="1681816044">
              <w:marLeft w:val="0"/>
              <w:marRight w:val="0"/>
              <w:marTop w:val="0"/>
              <w:marBottom w:val="0"/>
              <w:divBdr>
                <w:top w:val="none" w:sz="0" w:space="0" w:color="auto"/>
                <w:left w:val="none" w:sz="0" w:space="0" w:color="auto"/>
                <w:bottom w:val="none" w:sz="0" w:space="0" w:color="auto"/>
                <w:right w:val="none" w:sz="0" w:space="0" w:color="auto"/>
              </w:divBdr>
            </w:div>
            <w:div w:id="190804437">
              <w:marLeft w:val="0"/>
              <w:marRight w:val="0"/>
              <w:marTop w:val="0"/>
              <w:marBottom w:val="0"/>
              <w:divBdr>
                <w:top w:val="none" w:sz="0" w:space="0" w:color="auto"/>
                <w:left w:val="none" w:sz="0" w:space="0" w:color="auto"/>
                <w:bottom w:val="none" w:sz="0" w:space="0" w:color="auto"/>
                <w:right w:val="none" w:sz="0" w:space="0" w:color="auto"/>
              </w:divBdr>
            </w:div>
            <w:div w:id="372582797">
              <w:marLeft w:val="0"/>
              <w:marRight w:val="0"/>
              <w:marTop w:val="0"/>
              <w:marBottom w:val="0"/>
              <w:divBdr>
                <w:top w:val="none" w:sz="0" w:space="0" w:color="auto"/>
                <w:left w:val="none" w:sz="0" w:space="0" w:color="auto"/>
                <w:bottom w:val="none" w:sz="0" w:space="0" w:color="auto"/>
                <w:right w:val="none" w:sz="0" w:space="0" w:color="auto"/>
              </w:divBdr>
            </w:div>
            <w:div w:id="654726937">
              <w:marLeft w:val="0"/>
              <w:marRight w:val="0"/>
              <w:marTop w:val="0"/>
              <w:marBottom w:val="0"/>
              <w:divBdr>
                <w:top w:val="none" w:sz="0" w:space="0" w:color="auto"/>
                <w:left w:val="none" w:sz="0" w:space="0" w:color="auto"/>
                <w:bottom w:val="none" w:sz="0" w:space="0" w:color="auto"/>
                <w:right w:val="none" w:sz="0" w:space="0" w:color="auto"/>
              </w:divBdr>
            </w:div>
            <w:div w:id="232198915">
              <w:marLeft w:val="0"/>
              <w:marRight w:val="0"/>
              <w:marTop w:val="0"/>
              <w:marBottom w:val="0"/>
              <w:divBdr>
                <w:top w:val="none" w:sz="0" w:space="0" w:color="auto"/>
                <w:left w:val="none" w:sz="0" w:space="0" w:color="auto"/>
                <w:bottom w:val="none" w:sz="0" w:space="0" w:color="auto"/>
                <w:right w:val="none" w:sz="0" w:space="0" w:color="auto"/>
              </w:divBdr>
            </w:div>
            <w:div w:id="1415004670">
              <w:marLeft w:val="0"/>
              <w:marRight w:val="0"/>
              <w:marTop w:val="0"/>
              <w:marBottom w:val="0"/>
              <w:divBdr>
                <w:top w:val="none" w:sz="0" w:space="0" w:color="auto"/>
                <w:left w:val="none" w:sz="0" w:space="0" w:color="auto"/>
                <w:bottom w:val="none" w:sz="0" w:space="0" w:color="auto"/>
                <w:right w:val="none" w:sz="0" w:space="0" w:color="auto"/>
              </w:divBdr>
              <w:divsChild>
                <w:div w:id="2076004363">
                  <w:marLeft w:val="0"/>
                  <w:marRight w:val="0"/>
                  <w:marTop w:val="0"/>
                  <w:marBottom w:val="0"/>
                  <w:divBdr>
                    <w:top w:val="none" w:sz="0" w:space="0" w:color="auto"/>
                    <w:left w:val="none" w:sz="0" w:space="0" w:color="auto"/>
                    <w:bottom w:val="none" w:sz="0" w:space="0" w:color="auto"/>
                    <w:right w:val="none" w:sz="0" w:space="0" w:color="auto"/>
                  </w:divBdr>
                  <w:divsChild>
                    <w:div w:id="373625003">
                      <w:marLeft w:val="0"/>
                      <w:marRight w:val="0"/>
                      <w:marTop w:val="0"/>
                      <w:marBottom w:val="0"/>
                      <w:divBdr>
                        <w:top w:val="none" w:sz="0" w:space="0" w:color="auto"/>
                        <w:left w:val="none" w:sz="0" w:space="0" w:color="auto"/>
                        <w:bottom w:val="none" w:sz="0" w:space="0" w:color="auto"/>
                        <w:right w:val="none" w:sz="0" w:space="0" w:color="auto"/>
                      </w:divBdr>
                      <w:divsChild>
                        <w:div w:id="189144340">
                          <w:marLeft w:val="0"/>
                          <w:marRight w:val="0"/>
                          <w:marTop w:val="0"/>
                          <w:marBottom w:val="0"/>
                          <w:divBdr>
                            <w:top w:val="none" w:sz="0" w:space="0" w:color="auto"/>
                            <w:left w:val="none" w:sz="0" w:space="0" w:color="auto"/>
                            <w:bottom w:val="none" w:sz="0" w:space="0" w:color="auto"/>
                            <w:right w:val="none" w:sz="0" w:space="0" w:color="auto"/>
                          </w:divBdr>
                          <w:divsChild>
                            <w:div w:id="859972140">
                              <w:marLeft w:val="0"/>
                              <w:marRight w:val="0"/>
                              <w:marTop w:val="0"/>
                              <w:marBottom w:val="0"/>
                              <w:divBdr>
                                <w:top w:val="none" w:sz="0" w:space="0" w:color="auto"/>
                                <w:left w:val="none" w:sz="0" w:space="0" w:color="auto"/>
                                <w:bottom w:val="none" w:sz="0" w:space="0" w:color="auto"/>
                                <w:right w:val="none" w:sz="0" w:space="0" w:color="auto"/>
                              </w:divBdr>
                              <w:divsChild>
                                <w:div w:id="607664390">
                                  <w:marLeft w:val="0"/>
                                  <w:marRight w:val="0"/>
                                  <w:marTop w:val="0"/>
                                  <w:marBottom w:val="0"/>
                                  <w:divBdr>
                                    <w:top w:val="none" w:sz="0" w:space="0" w:color="auto"/>
                                    <w:left w:val="none" w:sz="0" w:space="0" w:color="auto"/>
                                    <w:bottom w:val="none" w:sz="0" w:space="0" w:color="auto"/>
                                    <w:right w:val="none" w:sz="0" w:space="0" w:color="auto"/>
                                  </w:divBdr>
                                  <w:divsChild>
                                    <w:div w:id="73168154">
                                      <w:marLeft w:val="0"/>
                                      <w:marRight w:val="0"/>
                                      <w:marTop w:val="0"/>
                                      <w:marBottom w:val="0"/>
                                      <w:divBdr>
                                        <w:top w:val="none" w:sz="0" w:space="0" w:color="auto"/>
                                        <w:left w:val="none" w:sz="0" w:space="0" w:color="auto"/>
                                        <w:bottom w:val="none" w:sz="0" w:space="0" w:color="auto"/>
                                        <w:right w:val="none" w:sz="0" w:space="0" w:color="auto"/>
                                      </w:divBdr>
                                      <w:divsChild>
                                        <w:div w:id="274027099">
                                          <w:marLeft w:val="0"/>
                                          <w:marRight w:val="0"/>
                                          <w:marTop w:val="0"/>
                                          <w:marBottom w:val="0"/>
                                          <w:divBdr>
                                            <w:top w:val="none" w:sz="0" w:space="0" w:color="auto"/>
                                            <w:left w:val="none" w:sz="0" w:space="0" w:color="auto"/>
                                            <w:bottom w:val="none" w:sz="0" w:space="0" w:color="auto"/>
                                            <w:right w:val="none" w:sz="0" w:space="0" w:color="auto"/>
                                          </w:divBdr>
                                          <w:divsChild>
                                            <w:div w:id="787622955">
                                              <w:marLeft w:val="0"/>
                                              <w:marRight w:val="0"/>
                                              <w:marTop w:val="0"/>
                                              <w:marBottom w:val="0"/>
                                              <w:divBdr>
                                                <w:top w:val="none" w:sz="0" w:space="0" w:color="auto"/>
                                                <w:left w:val="none" w:sz="0" w:space="0" w:color="auto"/>
                                                <w:bottom w:val="none" w:sz="0" w:space="0" w:color="auto"/>
                                                <w:right w:val="none" w:sz="0" w:space="0" w:color="auto"/>
                                              </w:divBdr>
                                              <w:divsChild>
                                                <w:div w:id="158270866">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217326874">
                                                          <w:marLeft w:val="0"/>
                                                          <w:marRight w:val="0"/>
                                                          <w:marTop w:val="0"/>
                                                          <w:marBottom w:val="0"/>
                                                          <w:divBdr>
                                                            <w:top w:val="none" w:sz="0" w:space="0" w:color="auto"/>
                                                            <w:left w:val="none" w:sz="0" w:space="0" w:color="auto"/>
                                                            <w:bottom w:val="none" w:sz="0" w:space="0" w:color="auto"/>
                                                            <w:right w:val="none" w:sz="0" w:space="0" w:color="auto"/>
                                                          </w:divBdr>
                                                          <w:divsChild>
                                                            <w:div w:id="1327855865">
                                                              <w:marLeft w:val="0"/>
                                                              <w:marRight w:val="0"/>
                                                              <w:marTop w:val="0"/>
                                                              <w:marBottom w:val="0"/>
                                                              <w:divBdr>
                                                                <w:top w:val="none" w:sz="0" w:space="0" w:color="auto"/>
                                                                <w:left w:val="none" w:sz="0" w:space="0" w:color="auto"/>
                                                                <w:bottom w:val="none" w:sz="0" w:space="0" w:color="auto"/>
                                                                <w:right w:val="none" w:sz="0" w:space="0" w:color="auto"/>
                                                              </w:divBdr>
                                                              <w:divsChild>
                                                                <w:div w:id="1810170167">
                                                                  <w:marLeft w:val="0"/>
                                                                  <w:marRight w:val="0"/>
                                                                  <w:marTop w:val="0"/>
                                                                  <w:marBottom w:val="0"/>
                                                                  <w:divBdr>
                                                                    <w:top w:val="none" w:sz="0" w:space="0" w:color="auto"/>
                                                                    <w:left w:val="none" w:sz="0" w:space="0" w:color="auto"/>
                                                                    <w:bottom w:val="none" w:sz="0" w:space="0" w:color="auto"/>
                                                                    <w:right w:val="none" w:sz="0" w:space="0" w:color="auto"/>
                                                                  </w:divBdr>
                                                                </w:div>
                                                                <w:div w:id="739450696">
                                                                  <w:marLeft w:val="0"/>
                                                                  <w:marRight w:val="0"/>
                                                                  <w:marTop w:val="0"/>
                                                                  <w:marBottom w:val="0"/>
                                                                  <w:divBdr>
                                                                    <w:top w:val="none" w:sz="0" w:space="0" w:color="auto"/>
                                                                    <w:left w:val="none" w:sz="0" w:space="0" w:color="auto"/>
                                                                    <w:bottom w:val="none" w:sz="0" w:space="0" w:color="auto"/>
                                                                    <w:right w:val="none" w:sz="0" w:space="0" w:color="auto"/>
                                                                  </w:divBdr>
                                                                </w:div>
                                                                <w:div w:id="542988769">
                                                                  <w:marLeft w:val="0"/>
                                                                  <w:marRight w:val="0"/>
                                                                  <w:marTop w:val="0"/>
                                                                  <w:marBottom w:val="0"/>
                                                                  <w:divBdr>
                                                                    <w:top w:val="none" w:sz="0" w:space="0" w:color="auto"/>
                                                                    <w:left w:val="none" w:sz="0" w:space="0" w:color="auto"/>
                                                                    <w:bottom w:val="none" w:sz="0" w:space="0" w:color="auto"/>
                                                                    <w:right w:val="none" w:sz="0" w:space="0" w:color="auto"/>
                                                                  </w:divBdr>
                                                                </w:div>
                                                                <w:div w:id="736704022">
                                                                  <w:marLeft w:val="0"/>
                                                                  <w:marRight w:val="0"/>
                                                                  <w:marTop w:val="0"/>
                                                                  <w:marBottom w:val="0"/>
                                                                  <w:divBdr>
                                                                    <w:top w:val="none" w:sz="0" w:space="0" w:color="auto"/>
                                                                    <w:left w:val="none" w:sz="0" w:space="0" w:color="auto"/>
                                                                    <w:bottom w:val="none" w:sz="0" w:space="0" w:color="auto"/>
                                                                    <w:right w:val="none" w:sz="0" w:space="0" w:color="auto"/>
                                                                  </w:divBdr>
                                                                </w:div>
                                                                <w:div w:id="640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053541">
          <w:marLeft w:val="0"/>
          <w:marRight w:val="0"/>
          <w:marTop w:val="0"/>
          <w:marBottom w:val="0"/>
          <w:divBdr>
            <w:top w:val="none" w:sz="0" w:space="0" w:color="auto"/>
            <w:left w:val="none" w:sz="0" w:space="0" w:color="auto"/>
            <w:bottom w:val="none" w:sz="0" w:space="0" w:color="auto"/>
            <w:right w:val="none" w:sz="0" w:space="0" w:color="auto"/>
          </w:divBdr>
          <w:divsChild>
            <w:div w:id="976570128">
              <w:marLeft w:val="0"/>
              <w:marRight w:val="0"/>
              <w:marTop w:val="0"/>
              <w:marBottom w:val="0"/>
              <w:divBdr>
                <w:top w:val="none" w:sz="0" w:space="0" w:color="auto"/>
                <w:left w:val="none" w:sz="0" w:space="0" w:color="auto"/>
                <w:bottom w:val="none" w:sz="0" w:space="0" w:color="auto"/>
                <w:right w:val="none" w:sz="0" w:space="0" w:color="auto"/>
              </w:divBdr>
            </w:div>
            <w:div w:id="10047500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91984050">
      <w:bodyDiv w:val="1"/>
      <w:marLeft w:val="0"/>
      <w:marRight w:val="0"/>
      <w:marTop w:val="0"/>
      <w:marBottom w:val="0"/>
      <w:divBdr>
        <w:top w:val="none" w:sz="0" w:space="0" w:color="auto"/>
        <w:left w:val="none" w:sz="0" w:space="0" w:color="auto"/>
        <w:bottom w:val="none" w:sz="0" w:space="0" w:color="auto"/>
        <w:right w:val="none" w:sz="0" w:space="0" w:color="auto"/>
      </w:divBdr>
    </w:div>
    <w:div w:id="1128353682">
      <w:bodyDiv w:val="1"/>
      <w:marLeft w:val="0"/>
      <w:marRight w:val="0"/>
      <w:marTop w:val="0"/>
      <w:marBottom w:val="0"/>
      <w:divBdr>
        <w:top w:val="none" w:sz="0" w:space="0" w:color="auto"/>
        <w:left w:val="none" w:sz="0" w:space="0" w:color="auto"/>
        <w:bottom w:val="none" w:sz="0" w:space="0" w:color="auto"/>
        <w:right w:val="none" w:sz="0" w:space="0" w:color="auto"/>
      </w:divBdr>
    </w:div>
    <w:div w:id="1442646556">
      <w:bodyDiv w:val="1"/>
      <w:marLeft w:val="0"/>
      <w:marRight w:val="0"/>
      <w:marTop w:val="0"/>
      <w:marBottom w:val="0"/>
      <w:divBdr>
        <w:top w:val="none" w:sz="0" w:space="0" w:color="auto"/>
        <w:left w:val="none" w:sz="0" w:space="0" w:color="auto"/>
        <w:bottom w:val="none" w:sz="0" w:space="0" w:color="auto"/>
        <w:right w:val="none" w:sz="0" w:space="0" w:color="auto"/>
      </w:divBdr>
      <w:divsChild>
        <w:div w:id="1591039934">
          <w:marLeft w:val="0"/>
          <w:marRight w:val="0"/>
          <w:marTop w:val="0"/>
          <w:marBottom w:val="0"/>
          <w:divBdr>
            <w:top w:val="none" w:sz="0" w:space="0" w:color="auto"/>
            <w:left w:val="none" w:sz="0" w:space="0" w:color="auto"/>
            <w:bottom w:val="none" w:sz="0" w:space="0" w:color="auto"/>
            <w:right w:val="none" w:sz="0" w:space="0" w:color="auto"/>
          </w:divBdr>
        </w:div>
        <w:div w:id="764881837">
          <w:marLeft w:val="0"/>
          <w:marRight w:val="0"/>
          <w:marTop w:val="0"/>
          <w:marBottom w:val="0"/>
          <w:divBdr>
            <w:top w:val="none" w:sz="0" w:space="0" w:color="auto"/>
            <w:left w:val="none" w:sz="0" w:space="0" w:color="auto"/>
            <w:bottom w:val="none" w:sz="0" w:space="0" w:color="auto"/>
            <w:right w:val="none" w:sz="0" w:space="0" w:color="auto"/>
          </w:divBdr>
        </w:div>
        <w:div w:id="550727465">
          <w:marLeft w:val="0"/>
          <w:marRight w:val="0"/>
          <w:marTop w:val="0"/>
          <w:marBottom w:val="0"/>
          <w:divBdr>
            <w:top w:val="none" w:sz="0" w:space="0" w:color="auto"/>
            <w:left w:val="none" w:sz="0" w:space="0" w:color="auto"/>
            <w:bottom w:val="none" w:sz="0" w:space="0" w:color="auto"/>
            <w:right w:val="none" w:sz="0" w:space="0" w:color="auto"/>
          </w:divBdr>
        </w:div>
        <w:div w:id="765227595">
          <w:marLeft w:val="0"/>
          <w:marRight w:val="0"/>
          <w:marTop w:val="0"/>
          <w:marBottom w:val="0"/>
          <w:divBdr>
            <w:top w:val="none" w:sz="0" w:space="0" w:color="auto"/>
            <w:left w:val="none" w:sz="0" w:space="0" w:color="auto"/>
            <w:bottom w:val="none" w:sz="0" w:space="0" w:color="auto"/>
            <w:right w:val="none" w:sz="0" w:space="0" w:color="auto"/>
          </w:divBdr>
        </w:div>
      </w:divsChild>
    </w:div>
    <w:div w:id="1683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3_04_44_771.html" TargetMode="External"/><Relationship Id="rId13" Type="http://schemas.openxmlformats.org/officeDocument/2006/relationships/hyperlink" Target="http://www.cf.ac.uk/celag/attachments%202014/Workshop%20Programme_Policy%20Evaluation_20%20June%20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21_02_13_23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ra-europa.eu/wp-content/uploads/2021/03/Priruc%CC%8Cnik-o-strates%CC%8Ckom-planiranju.pdf" TargetMode="External"/><Relationship Id="rId5" Type="http://schemas.openxmlformats.org/officeDocument/2006/relationships/webSettings" Target="webSettings.xml"/><Relationship Id="rId15" Type="http://schemas.openxmlformats.org/officeDocument/2006/relationships/hyperlink" Target="https://planoporavka.gov.hr/UserDocsImages/dokumenti/Plan%20oporavka%20i%20otpornosti%2C%20srpanj%202021..pdf?vel=13435491" TargetMode="External"/><Relationship Id="rId10" Type="http://schemas.openxmlformats.org/officeDocument/2006/relationships/hyperlink" Target="https://ec.europa.eu/info/strategy/priorities-2019-2024/economy-works-people/jobs-growth-and-investment/european-pillar-social-rights_en" TargetMode="External"/><Relationship Id="rId4" Type="http://schemas.openxmlformats.org/officeDocument/2006/relationships/settings" Target="settings.xml"/><Relationship Id="rId9" Type="http://schemas.openxmlformats.org/officeDocument/2006/relationships/hyperlink" Target="http://ec.europa.eu/regional_policy/sources/docoffic/2014/working/wd_2014_en.pdf" TargetMode="External"/><Relationship Id="rId14" Type="http://schemas.openxmlformats.org/officeDocument/2006/relationships/hyperlink" Target="https://narodne-novine.nn.hr/clanci/sluzbeni/2023_04_44_7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0BB8-B035-4A70-9CA0-318ABD3E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12730</Words>
  <Characters>85990</Characters>
  <Application>Microsoft Office Word</Application>
  <DocSecurity>0</DocSecurity>
  <Lines>716</Lines>
  <Paragraphs>197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Malekovic</dc:creator>
  <cp:keywords/>
  <dc:description/>
  <cp:lastModifiedBy>Andreja Martonja-Hitrec</cp:lastModifiedBy>
  <cp:revision>3</cp:revision>
  <cp:lastPrinted>2024-02-15T15:13:00Z</cp:lastPrinted>
  <dcterms:created xsi:type="dcterms:W3CDTF">2024-02-15T15:07:00Z</dcterms:created>
  <dcterms:modified xsi:type="dcterms:W3CDTF">2024-02-15T15:43:00Z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9a6ca055eba1082f6da582fd65c4b270dc4777efd520a3461fafcd96b62e0465</vt:lpwstr>
  </property>
</Properties>
</file>